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DD735" w14:textId="77777777" w:rsidR="00A2611F" w:rsidRDefault="00A2611F">
      <w:pPr>
        <w:spacing w:before="1800"/>
      </w:pPr>
    </w:p>
    <w:p w14:paraId="67A5E771" w14:textId="77777777" w:rsidR="00A2611F" w:rsidRDefault="00000000">
      <w:pPr>
        <w:jc w:val="center"/>
      </w:pPr>
      <w:r>
        <w:rPr>
          <w:b/>
          <w:bCs/>
          <w:sz w:val="44"/>
          <w:szCs w:val="44"/>
        </w:rPr>
        <w:t>South African Retail Media</w:t>
      </w:r>
    </w:p>
    <w:p w14:paraId="62ACB610" w14:textId="77777777" w:rsidR="00A2611F" w:rsidRDefault="00000000">
      <w:pPr>
        <w:spacing w:after="400"/>
        <w:jc w:val="center"/>
      </w:pPr>
      <w:r>
        <w:rPr>
          <w:b/>
          <w:bCs/>
          <w:sz w:val="44"/>
          <w:szCs w:val="44"/>
        </w:rPr>
        <w:t>Measurement Standard</w:t>
      </w:r>
    </w:p>
    <w:p w14:paraId="16D15FC1" w14:textId="77777777" w:rsidR="00A2611F" w:rsidRDefault="00000000">
      <w:pPr>
        <w:spacing w:after="200"/>
        <w:jc w:val="center"/>
      </w:pPr>
      <w:r>
        <w:rPr>
          <w:sz w:val="28"/>
          <w:szCs w:val="28"/>
        </w:rPr>
        <w:t>Working Draft — Version 0.3</w:t>
      </w:r>
    </w:p>
    <w:p w14:paraId="79531DB7" w14:textId="77777777" w:rsidR="00A2611F" w:rsidRDefault="00A2611F">
      <w:pPr>
        <w:spacing w:after="400"/>
      </w:pPr>
    </w:p>
    <w:p w14:paraId="04A7F4F0" w14:textId="77777777" w:rsidR="00A2611F" w:rsidRDefault="00000000">
      <w:pPr>
        <w:spacing w:after="100"/>
        <w:jc w:val="center"/>
      </w:pPr>
      <w:r>
        <w:rPr>
          <w:b/>
          <w:bCs/>
        </w:rPr>
        <w:t>MMA South Africa Retail Media Task Force</w:t>
      </w:r>
    </w:p>
    <w:p w14:paraId="3A6C4D9D" w14:textId="77777777" w:rsidR="00A2611F" w:rsidRDefault="00000000">
      <w:pPr>
        <w:spacing w:after="100"/>
        <w:jc w:val="center"/>
      </w:pPr>
      <w:r>
        <w:t>Measurement Standards Workstream</w:t>
      </w:r>
    </w:p>
    <w:p w14:paraId="67EA633D" w14:textId="77777777" w:rsidR="00A2611F" w:rsidRDefault="00000000">
      <w:pPr>
        <w:spacing w:after="800"/>
        <w:jc w:val="center"/>
      </w:pPr>
      <w:r>
        <w:t>August 2026</w:t>
      </w:r>
    </w:p>
    <w:p w14:paraId="25EE07E2" w14:textId="77777777" w:rsidR="00A2611F" w:rsidRDefault="00000000">
      <w:pPr>
        <w:jc w:val="center"/>
      </w:pPr>
      <w:r>
        <w:rPr>
          <w:b/>
          <w:bCs/>
          <w:sz w:val="18"/>
          <w:szCs w:val="18"/>
        </w:rPr>
        <w:t>CONFIDENTIAL — Not for distribution outside the Task Force</w:t>
      </w:r>
    </w:p>
    <w:p w14:paraId="37B13215" w14:textId="77777777" w:rsidR="00A2611F" w:rsidRDefault="00000000">
      <w:r>
        <w:br w:type="page"/>
      </w:r>
    </w:p>
    <w:p w14:paraId="23DB2653" w14:textId="77777777" w:rsidR="00A2611F" w:rsidRDefault="00000000">
      <w:pPr>
        <w:pStyle w:val="Heading1"/>
      </w:pPr>
      <w:r>
        <w:lastRenderedPageBreak/>
        <w:t>Contents</w:t>
      </w:r>
    </w:p>
    <w:p w14:paraId="2959F7B3" w14:textId="77777777" w:rsidR="00A2611F" w:rsidRDefault="00000000">
      <w:pPr>
        <w:spacing w:after="20"/>
      </w:pPr>
      <w:r>
        <w:rPr>
          <w:b/>
          <w:bCs/>
          <w:sz w:val="18"/>
          <w:szCs w:val="18"/>
        </w:rPr>
        <w:t>Revision Summary</w:t>
      </w:r>
      <w:r>
        <w:ptab w:relativeTo="margin" w:alignment="right" w:leader="dot"/>
      </w:r>
      <w:r>
        <w:rPr>
          <w:b/>
          <w:bCs/>
          <w:sz w:val="18"/>
          <w:szCs w:val="18"/>
        </w:rPr>
        <w:t>3</w:t>
      </w:r>
    </w:p>
    <w:p w14:paraId="7B8054AE" w14:textId="77777777" w:rsidR="00A2611F" w:rsidRDefault="00000000">
      <w:pPr>
        <w:spacing w:after="20"/>
      </w:pPr>
      <w:r>
        <w:rPr>
          <w:b/>
          <w:bCs/>
          <w:sz w:val="18"/>
          <w:szCs w:val="18"/>
        </w:rPr>
        <w:t>How to Read This Document</w:t>
      </w:r>
      <w:r>
        <w:ptab w:relativeTo="margin" w:alignment="right" w:leader="dot"/>
      </w:r>
      <w:r>
        <w:rPr>
          <w:b/>
          <w:bCs/>
          <w:sz w:val="18"/>
          <w:szCs w:val="18"/>
        </w:rPr>
        <w:t>5</w:t>
      </w:r>
    </w:p>
    <w:p w14:paraId="053DA26E" w14:textId="77777777" w:rsidR="00A2611F" w:rsidRDefault="00000000">
      <w:pPr>
        <w:spacing w:after="20"/>
      </w:pPr>
      <w:r>
        <w:rPr>
          <w:b/>
          <w:bCs/>
          <w:sz w:val="18"/>
          <w:szCs w:val="18"/>
        </w:rPr>
        <w:t>1. Data Quality</w:t>
      </w:r>
      <w:r>
        <w:ptab w:relativeTo="margin" w:alignment="right" w:leader="dot"/>
      </w:r>
      <w:r>
        <w:rPr>
          <w:b/>
          <w:bCs/>
          <w:sz w:val="18"/>
          <w:szCs w:val="18"/>
        </w:rPr>
        <w:t>6</w:t>
      </w:r>
    </w:p>
    <w:p w14:paraId="288D1C52" w14:textId="77777777" w:rsidR="00A2611F" w:rsidRDefault="00000000">
      <w:pPr>
        <w:spacing w:after="20"/>
        <w:ind w:left="300"/>
      </w:pPr>
      <w:r>
        <w:rPr>
          <w:sz w:val="18"/>
          <w:szCs w:val="18"/>
        </w:rPr>
        <w:t>1.1 The Tier Model</w:t>
      </w:r>
      <w:r>
        <w:ptab w:relativeTo="margin" w:alignment="right" w:leader="dot"/>
      </w:r>
      <w:r>
        <w:rPr>
          <w:sz w:val="18"/>
          <w:szCs w:val="18"/>
        </w:rPr>
        <w:t>6</w:t>
      </w:r>
    </w:p>
    <w:p w14:paraId="48843EC5" w14:textId="77777777" w:rsidR="00A2611F" w:rsidRDefault="00000000">
      <w:pPr>
        <w:spacing w:after="20"/>
        <w:ind w:left="300"/>
      </w:pPr>
      <w:r>
        <w:rPr>
          <w:sz w:val="18"/>
          <w:szCs w:val="18"/>
        </w:rPr>
        <w:t>1.2 Modelled vs Deterministic</w:t>
      </w:r>
      <w:r>
        <w:ptab w:relativeTo="margin" w:alignment="right" w:leader="dot"/>
      </w:r>
      <w:r>
        <w:rPr>
          <w:sz w:val="18"/>
          <w:szCs w:val="18"/>
        </w:rPr>
        <w:t>7</w:t>
      </w:r>
    </w:p>
    <w:p w14:paraId="1468E243" w14:textId="77777777" w:rsidR="00A2611F" w:rsidRDefault="00000000">
      <w:pPr>
        <w:spacing w:after="20"/>
        <w:ind w:left="300"/>
      </w:pPr>
      <w:r>
        <w:rPr>
          <w:sz w:val="18"/>
          <w:szCs w:val="18"/>
        </w:rPr>
        <w:t>1.3 Cash &amp; Low-Traceability Transactions</w:t>
      </w:r>
      <w:r>
        <w:ptab w:relativeTo="margin" w:alignment="right" w:leader="dot"/>
      </w:r>
      <w:r>
        <w:rPr>
          <w:sz w:val="18"/>
          <w:szCs w:val="18"/>
        </w:rPr>
        <w:t>7</w:t>
      </w:r>
    </w:p>
    <w:p w14:paraId="16BCDDE3" w14:textId="77777777" w:rsidR="00A2611F" w:rsidRDefault="00000000">
      <w:pPr>
        <w:spacing w:after="20"/>
        <w:ind w:left="300"/>
      </w:pPr>
      <w:r>
        <w:rPr>
          <w:sz w:val="18"/>
          <w:szCs w:val="18"/>
        </w:rPr>
        <w:t>1.4 Gross vs Net Sales</w:t>
      </w:r>
      <w:r>
        <w:ptab w:relativeTo="margin" w:alignment="right" w:leader="dot"/>
      </w:r>
      <w:r>
        <w:rPr>
          <w:sz w:val="18"/>
          <w:szCs w:val="18"/>
        </w:rPr>
        <w:t>7</w:t>
      </w:r>
    </w:p>
    <w:p w14:paraId="6699141F" w14:textId="77777777" w:rsidR="00A2611F" w:rsidRDefault="00000000">
      <w:pPr>
        <w:spacing w:after="20"/>
        <w:ind w:left="300"/>
      </w:pPr>
      <w:r>
        <w:rPr>
          <w:sz w:val="18"/>
          <w:szCs w:val="18"/>
        </w:rPr>
        <w:t>1.5 Viewability &amp; Measurability</w:t>
      </w:r>
      <w:r>
        <w:ptab w:relativeTo="margin" w:alignment="right" w:leader="dot"/>
      </w:r>
      <w:r>
        <w:rPr>
          <w:sz w:val="18"/>
          <w:szCs w:val="18"/>
        </w:rPr>
        <w:t>8</w:t>
      </w:r>
    </w:p>
    <w:p w14:paraId="19A5CE1E" w14:textId="77777777" w:rsidR="00A2611F" w:rsidRDefault="00000000">
      <w:pPr>
        <w:spacing w:after="20"/>
        <w:ind w:left="300"/>
      </w:pPr>
      <w:r>
        <w:rPr>
          <w:sz w:val="18"/>
          <w:szCs w:val="18"/>
        </w:rPr>
        <w:t>1.6 Invalid Traffic — GIVT and SIVT</w:t>
      </w:r>
      <w:r>
        <w:ptab w:relativeTo="margin" w:alignment="right" w:leader="dot"/>
      </w:r>
      <w:r>
        <w:rPr>
          <w:sz w:val="18"/>
          <w:szCs w:val="18"/>
        </w:rPr>
        <w:t>8</w:t>
      </w:r>
    </w:p>
    <w:p w14:paraId="08E11B1C" w14:textId="77777777" w:rsidR="00A2611F" w:rsidRDefault="00000000">
      <w:pPr>
        <w:spacing w:after="20"/>
        <w:ind w:left="300"/>
      </w:pPr>
      <w:r>
        <w:rPr>
          <w:sz w:val="18"/>
          <w:szCs w:val="18"/>
        </w:rPr>
        <w:t>1.7 Duration Weighting</w:t>
      </w:r>
      <w:r>
        <w:ptab w:relativeTo="margin" w:alignment="right" w:leader="dot"/>
      </w:r>
      <w:r>
        <w:rPr>
          <w:sz w:val="18"/>
          <w:szCs w:val="18"/>
        </w:rPr>
        <w:t>8</w:t>
      </w:r>
    </w:p>
    <w:p w14:paraId="3ED9BC37" w14:textId="77777777" w:rsidR="00A2611F" w:rsidRDefault="00000000">
      <w:pPr>
        <w:spacing w:after="20"/>
        <w:ind w:left="300"/>
      </w:pPr>
      <w:r>
        <w:rPr>
          <w:sz w:val="18"/>
          <w:szCs w:val="18"/>
        </w:rPr>
        <w:t>1.8 Attribution Window Disclosure</w:t>
      </w:r>
      <w:r>
        <w:ptab w:relativeTo="margin" w:alignment="right" w:leader="dot"/>
      </w:r>
      <w:r>
        <w:rPr>
          <w:sz w:val="18"/>
          <w:szCs w:val="18"/>
        </w:rPr>
        <w:t>8</w:t>
      </w:r>
    </w:p>
    <w:p w14:paraId="421668EA" w14:textId="77777777" w:rsidR="00A2611F" w:rsidRDefault="00000000">
      <w:pPr>
        <w:spacing w:after="20"/>
        <w:ind w:left="300"/>
      </w:pPr>
      <w:r>
        <w:rPr>
          <w:sz w:val="18"/>
          <w:szCs w:val="18"/>
        </w:rPr>
        <w:t>1.9 Data Access &amp; Auditability</w:t>
      </w:r>
      <w:r>
        <w:ptab w:relativeTo="margin" w:alignment="right" w:leader="dot"/>
      </w:r>
      <w:r>
        <w:rPr>
          <w:sz w:val="18"/>
          <w:szCs w:val="18"/>
        </w:rPr>
        <w:t>9</w:t>
      </w:r>
    </w:p>
    <w:p w14:paraId="70C3B82A" w14:textId="77777777" w:rsidR="00A2611F" w:rsidRDefault="00000000">
      <w:pPr>
        <w:spacing w:after="20"/>
        <w:ind w:left="300"/>
      </w:pPr>
      <w:r>
        <w:rPr>
          <w:sz w:val="18"/>
          <w:szCs w:val="18"/>
        </w:rPr>
        <w:t>1.10 Raw Data, Reporting Cadence &amp; Granularity</w:t>
      </w:r>
      <w:r>
        <w:ptab w:relativeTo="margin" w:alignment="right" w:leader="dot"/>
      </w:r>
      <w:r>
        <w:rPr>
          <w:sz w:val="18"/>
          <w:szCs w:val="18"/>
        </w:rPr>
        <w:t>9</w:t>
      </w:r>
    </w:p>
    <w:p w14:paraId="1F7D1753" w14:textId="77777777" w:rsidR="00A2611F" w:rsidRDefault="00000000">
      <w:pPr>
        <w:spacing w:after="20"/>
      </w:pPr>
      <w:r>
        <w:rPr>
          <w:b/>
          <w:bCs/>
          <w:sz w:val="18"/>
          <w:szCs w:val="18"/>
        </w:rPr>
        <w:t>2. Digital Metrics — Consolidated Library</w:t>
      </w:r>
      <w:r>
        <w:ptab w:relativeTo="margin" w:alignment="right" w:leader="dot"/>
      </w:r>
      <w:r>
        <w:rPr>
          <w:b/>
          <w:bCs/>
          <w:sz w:val="18"/>
          <w:szCs w:val="18"/>
        </w:rPr>
        <w:t>10</w:t>
      </w:r>
    </w:p>
    <w:p w14:paraId="1CF48C91" w14:textId="77777777" w:rsidR="00A2611F" w:rsidRDefault="00000000">
      <w:pPr>
        <w:spacing w:after="20"/>
        <w:ind w:left="300"/>
      </w:pPr>
      <w:r>
        <w:rPr>
          <w:sz w:val="18"/>
          <w:szCs w:val="18"/>
        </w:rPr>
        <w:t>2.1 Performance / Delivery</w:t>
      </w:r>
      <w:r>
        <w:ptab w:relativeTo="margin" w:alignment="right" w:leader="dot"/>
      </w:r>
      <w:r>
        <w:rPr>
          <w:sz w:val="18"/>
          <w:szCs w:val="18"/>
        </w:rPr>
        <w:t>10</w:t>
      </w:r>
    </w:p>
    <w:p w14:paraId="6CC1601A" w14:textId="77777777" w:rsidR="00A2611F" w:rsidRDefault="00000000">
      <w:pPr>
        <w:spacing w:after="20"/>
        <w:ind w:left="300"/>
      </w:pPr>
      <w:r>
        <w:rPr>
          <w:sz w:val="18"/>
          <w:szCs w:val="18"/>
        </w:rPr>
        <w:t>2.2 Conversion / ROAS &amp; Sales</w:t>
      </w:r>
      <w:r>
        <w:ptab w:relativeTo="margin" w:alignment="right" w:leader="dot"/>
      </w:r>
      <w:r>
        <w:rPr>
          <w:sz w:val="18"/>
          <w:szCs w:val="18"/>
        </w:rPr>
        <w:t>11</w:t>
      </w:r>
    </w:p>
    <w:p w14:paraId="5190C5F2" w14:textId="77777777" w:rsidR="00A2611F" w:rsidRDefault="00000000">
      <w:pPr>
        <w:spacing w:after="20"/>
        <w:ind w:left="300"/>
      </w:pPr>
      <w:r>
        <w:rPr>
          <w:sz w:val="18"/>
          <w:szCs w:val="18"/>
        </w:rPr>
        <w:t>2.3 Customer Insights</w:t>
      </w:r>
      <w:r>
        <w:ptab w:relativeTo="margin" w:alignment="right" w:leader="dot"/>
      </w:r>
      <w:r>
        <w:rPr>
          <w:sz w:val="18"/>
          <w:szCs w:val="18"/>
        </w:rPr>
        <w:t>12</w:t>
      </w:r>
    </w:p>
    <w:p w14:paraId="3A06C289" w14:textId="77777777" w:rsidR="00A2611F" w:rsidRDefault="00000000">
      <w:pPr>
        <w:spacing w:after="20"/>
        <w:ind w:left="500"/>
      </w:pPr>
      <w:r>
        <w:rPr>
          <w:sz w:val="18"/>
          <w:szCs w:val="18"/>
        </w:rPr>
        <w:t>2.3.1 Shopper Intelligence</w:t>
      </w:r>
      <w:r>
        <w:ptab w:relativeTo="margin" w:alignment="right" w:leader="dot"/>
      </w:r>
      <w:r>
        <w:rPr>
          <w:sz w:val="18"/>
          <w:szCs w:val="18"/>
        </w:rPr>
        <w:t>12</w:t>
      </w:r>
    </w:p>
    <w:p w14:paraId="3061D1A5" w14:textId="77777777" w:rsidR="00A2611F" w:rsidRDefault="00000000">
      <w:pPr>
        <w:spacing w:after="20"/>
        <w:ind w:left="300"/>
      </w:pPr>
      <w:r>
        <w:rPr>
          <w:sz w:val="18"/>
          <w:szCs w:val="18"/>
        </w:rPr>
        <w:t>2.4 Direct Marketing</w:t>
      </w:r>
      <w:r>
        <w:ptab w:relativeTo="margin" w:alignment="right" w:leader="dot"/>
      </w:r>
      <w:r>
        <w:rPr>
          <w:sz w:val="18"/>
          <w:szCs w:val="18"/>
        </w:rPr>
        <w:t>13</w:t>
      </w:r>
    </w:p>
    <w:p w14:paraId="33B4728C" w14:textId="77777777" w:rsidR="00A2611F" w:rsidRDefault="00000000">
      <w:pPr>
        <w:spacing w:after="20"/>
        <w:ind w:left="300"/>
      </w:pPr>
      <w:r>
        <w:rPr>
          <w:sz w:val="18"/>
          <w:szCs w:val="18"/>
        </w:rPr>
        <w:t>2.5 Audiences &amp; Cross-Channel Attribution</w:t>
      </w:r>
      <w:r>
        <w:ptab w:relativeTo="margin" w:alignment="right" w:leader="dot"/>
      </w:r>
      <w:r>
        <w:rPr>
          <w:sz w:val="18"/>
          <w:szCs w:val="18"/>
        </w:rPr>
        <w:t>14</w:t>
      </w:r>
    </w:p>
    <w:p w14:paraId="2C9B22E7" w14:textId="77777777" w:rsidR="00A2611F" w:rsidRDefault="00000000">
      <w:pPr>
        <w:spacing w:after="20"/>
      </w:pPr>
      <w:r>
        <w:rPr>
          <w:b/>
          <w:bCs/>
          <w:sz w:val="18"/>
          <w:szCs w:val="18"/>
        </w:rPr>
        <w:t>3. Advanced Measurement</w:t>
      </w:r>
      <w:r>
        <w:ptab w:relativeTo="margin" w:alignment="right" w:leader="dot"/>
      </w:r>
      <w:r>
        <w:rPr>
          <w:b/>
          <w:bCs/>
          <w:sz w:val="18"/>
          <w:szCs w:val="18"/>
        </w:rPr>
        <w:t>15</w:t>
      </w:r>
    </w:p>
    <w:p w14:paraId="5696BAAE" w14:textId="77777777" w:rsidR="00A2611F" w:rsidRDefault="00000000">
      <w:pPr>
        <w:spacing w:after="20"/>
        <w:ind w:left="300"/>
      </w:pPr>
      <w:r>
        <w:rPr>
          <w:sz w:val="18"/>
          <w:szCs w:val="18"/>
        </w:rPr>
        <w:t>3.1 Incrementality &amp; the Baseline Problem</w:t>
      </w:r>
      <w:r>
        <w:ptab w:relativeTo="margin" w:alignment="right" w:leader="dot"/>
      </w:r>
      <w:r>
        <w:rPr>
          <w:sz w:val="18"/>
          <w:szCs w:val="18"/>
        </w:rPr>
        <w:t>15</w:t>
      </w:r>
    </w:p>
    <w:p w14:paraId="6F8478FA" w14:textId="77777777" w:rsidR="00A2611F" w:rsidRDefault="00000000">
      <w:pPr>
        <w:spacing w:after="20"/>
        <w:ind w:left="500"/>
      </w:pPr>
      <w:r>
        <w:rPr>
          <w:sz w:val="18"/>
          <w:szCs w:val="18"/>
        </w:rPr>
        <w:t>3.1.1 What Makes a Measurement Causal</w:t>
      </w:r>
      <w:r>
        <w:ptab w:relativeTo="margin" w:alignment="right" w:leader="dot"/>
      </w:r>
      <w:r>
        <w:rPr>
          <w:sz w:val="18"/>
          <w:szCs w:val="18"/>
        </w:rPr>
        <w:t>15</w:t>
      </w:r>
    </w:p>
    <w:p w14:paraId="482211DF" w14:textId="77777777" w:rsidR="00A2611F" w:rsidRDefault="00000000">
      <w:pPr>
        <w:spacing w:after="20"/>
        <w:ind w:left="500"/>
      </w:pPr>
      <w:r>
        <w:rPr>
          <w:sz w:val="18"/>
          <w:szCs w:val="18"/>
        </w:rPr>
        <w:t>3.1.2 Minimum Disclosure</w:t>
      </w:r>
      <w:r>
        <w:ptab w:relativeTo="margin" w:alignment="right" w:leader="dot"/>
      </w:r>
      <w:r>
        <w:rPr>
          <w:sz w:val="18"/>
          <w:szCs w:val="18"/>
        </w:rPr>
        <w:t>15</w:t>
      </w:r>
    </w:p>
    <w:p w14:paraId="5E146603" w14:textId="77777777" w:rsidR="00A2611F" w:rsidRDefault="00000000">
      <w:pPr>
        <w:spacing w:after="20"/>
        <w:ind w:left="500"/>
      </w:pPr>
      <w:r>
        <w:rPr>
          <w:sz w:val="18"/>
          <w:szCs w:val="18"/>
        </w:rPr>
        <w:t>3.1.3 Methods, Tiered</w:t>
      </w:r>
      <w:r>
        <w:ptab w:relativeTo="margin" w:alignment="right" w:leader="dot"/>
      </w:r>
      <w:r>
        <w:rPr>
          <w:sz w:val="18"/>
          <w:szCs w:val="18"/>
        </w:rPr>
        <w:t>16</w:t>
      </w:r>
    </w:p>
    <w:p w14:paraId="4F9A5E4D" w14:textId="77777777" w:rsidR="00A2611F" w:rsidRDefault="00000000">
      <w:pPr>
        <w:spacing w:after="20"/>
        <w:ind w:left="500"/>
      </w:pPr>
      <w:r>
        <w:rPr>
          <w:sz w:val="18"/>
          <w:szCs w:val="18"/>
        </w:rPr>
        <w:t>3.1.4 Data Types &amp; Sources</w:t>
      </w:r>
      <w:r>
        <w:ptab w:relativeTo="margin" w:alignment="right" w:leader="dot"/>
      </w:r>
      <w:r>
        <w:rPr>
          <w:sz w:val="18"/>
          <w:szCs w:val="18"/>
        </w:rPr>
        <w:t>17</w:t>
      </w:r>
    </w:p>
    <w:p w14:paraId="7020884F" w14:textId="77777777" w:rsidR="00A2611F" w:rsidRDefault="00000000">
      <w:pPr>
        <w:spacing w:after="20"/>
        <w:ind w:left="500"/>
      </w:pPr>
      <w:r>
        <w:rPr>
          <w:sz w:val="18"/>
          <w:szCs w:val="18"/>
        </w:rPr>
        <w:t>3.1.5 Choosing a Method by Business Question</w:t>
      </w:r>
      <w:r>
        <w:ptab w:relativeTo="margin" w:alignment="right" w:leader="dot"/>
      </w:r>
      <w:r>
        <w:rPr>
          <w:sz w:val="18"/>
          <w:szCs w:val="18"/>
        </w:rPr>
        <w:t>17</w:t>
      </w:r>
    </w:p>
    <w:p w14:paraId="2B1A44D3" w14:textId="77777777" w:rsidR="00A2611F" w:rsidRDefault="00000000">
      <w:pPr>
        <w:spacing w:after="20"/>
        <w:ind w:left="300"/>
      </w:pPr>
      <w:r>
        <w:rPr>
          <w:sz w:val="18"/>
          <w:szCs w:val="18"/>
        </w:rPr>
        <w:t>3.2 Marketing Mix Modelling (MMM)</w:t>
      </w:r>
      <w:r>
        <w:ptab w:relativeTo="margin" w:alignment="right" w:leader="dot"/>
      </w:r>
      <w:r>
        <w:rPr>
          <w:sz w:val="18"/>
          <w:szCs w:val="18"/>
        </w:rPr>
        <w:t>17</w:t>
      </w:r>
    </w:p>
    <w:p w14:paraId="29CF0B86" w14:textId="77777777" w:rsidR="00A2611F" w:rsidRDefault="00000000">
      <w:pPr>
        <w:spacing w:after="20"/>
        <w:ind w:left="300"/>
      </w:pPr>
      <w:r>
        <w:rPr>
          <w:sz w:val="18"/>
          <w:szCs w:val="18"/>
        </w:rPr>
        <w:t>3.3 Multi-Touch Attribution (MTA)</w:t>
      </w:r>
      <w:r>
        <w:ptab w:relativeTo="margin" w:alignment="right" w:leader="dot"/>
      </w:r>
      <w:r>
        <w:rPr>
          <w:sz w:val="18"/>
          <w:szCs w:val="18"/>
        </w:rPr>
        <w:t>18</w:t>
      </w:r>
    </w:p>
    <w:p w14:paraId="06F9E85A" w14:textId="77777777" w:rsidR="00A2611F" w:rsidRDefault="00000000">
      <w:pPr>
        <w:spacing w:after="20"/>
        <w:ind w:left="300"/>
      </w:pPr>
      <w:r>
        <w:rPr>
          <w:sz w:val="18"/>
          <w:szCs w:val="18"/>
        </w:rPr>
        <w:t>3.4 Incremental Customer Lifetime Value (CLTV)</w:t>
      </w:r>
      <w:r>
        <w:ptab w:relativeTo="margin" w:alignment="right" w:leader="dot"/>
      </w:r>
      <w:r>
        <w:rPr>
          <w:sz w:val="18"/>
          <w:szCs w:val="18"/>
        </w:rPr>
        <w:t>18</w:t>
      </w:r>
    </w:p>
    <w:p w14:paraId="3C5381EA" w14:textId="77777777" w:rsidR="00A2611F" w:rsidRDefault="00000000">
      <w:pPr>
        <w:spacing w:after="20"/>
        <w:ind w:left="300"/>
      </w:pPr>
      <w:r>
        <w:rPr>
          <w:sz w:val="18"/>
          <w:szCs w:val="18"/>
        </w:rPr>
        <w:t>3.5 Brand Lift</w:t>
      </w:r>
      <w:r>
        <w:ptab w:relativeTo="margin" w:alignment="right" w:leader="dot"/>
      </w:r>
      <w:r>
        <w:rPr>
          <w:sz w:val="18"/>
          <w:szCs w:val="18"/>
        </w:rPr>
        <w:t>18</w:t>
      </w:r>
    </w:p>
    <w:p w14:paraId="6AABB0D7" w14:textId="77777777" w:rsidR="00A2611F" w:rsidRDefault="00000000">
      <w:pPr>
        <w:spacing w:after="20"/>
      </w:pPr>
      <w:r>
        <w:rPr>
          <w:b/>
          <w:bCs/>
          <w:sz w:val="18"/>
          <w:szCs w:val="18"/>
        </w:rPr>
        <w:t>4. In-Store</w:t>
      </w:r>
      <w:r>
        <w:ptab w:relativeTo="margin" w:alignment="right" w:leader="dot"/>
      </w:r>
      <w:r>
        <w:rPr>
          <w:b/>
          <w:bCs/>
          <w:sz w:val="18"/>
          <w:szCs w:val="18"/>
        </w:rPr>
        <w:t>19</w:t>
      </w:r>
    </w:p>
    <w:p w14:paraId="57AC2935" w14:textId="77777777" w:rsidR="00A2611F" w:rsidRDefault="00000000">
      <w:pPr>
        <w:spacing w:after="20"/>
        <w:ind w:left="300"/>
      </w:pPr>
      <w:r>
        <w:rPr>
          <w:sz w:val="18"/>
          <w:szCs w:val="18"/>
        </w:rPr>
        <w:t>4.1 Why In-Store Is the Defining Challenge</w:t>
      </w:r>
      <w:r>
        <w:ptab w:relativeTo="margin" w:alignment="right" w:leader="dot"/>
      </w:r>
      <w:r>
        <w:rPr>
          <w:sz w:val="18"/>
          <w:szCs w:val="18"/>
        </w:rPr>
        <w:t>19</w:t>
      </w:r>
    </w:p>
    <w:p w14:paraId="02B5AED3" w14:textId="77777777" w:rsidR="00A2611F" w:rsidRDefault="00000000">
      <w:pPr>
        <w:spacing w:after="20"/>
        <w:ind w:left="300"/>
      </w:pPr>
      <w:r>
        <w:rPr>
          <w:sz w:val="18"/>
          <w:szCs w:val="18"/>
        </w:rPr>
        <w:t>4.2 The Maturity Spine</w:t>
      </w:r>
      <w:r>
        <w:ptab w:relativeTo="margin" w:alignment="right" w:leader="dot"/>
      </w:r>
      <w:r>
        <w:rPr>
          <w:sz w:val="18"/>
          <w:szCs w:val="18"/>
        </w:rPr>
        <w:t>19</w:t>
      </w:r>
    </w:p>
    <w:p w14:paraId="0F007C98" w14:textId="77777777" w:rsidR="00A2611F" w:rsidRDefault="00000000">
      <w:pPr>
        <w:spacing w:after="20"/>
        <w:ind w:left="300"/>
      </w:pPr>
      <w:r>
        <w:rPr>
          <w:sz w:val="18"/>
          <w:szCs w:val="18"/>
        </w:rPr>
        <w:t>4.3 The SA-Realistic Entry Point</w:t>
      </w:r>
      <w:r>
        <w:ptab w:relativeTo="margin" w:alignment="right" w:leader="dot"/>
      </w:r>
      <w:r>
        <w:rPr>
          <w:sz w:val="18"/>
          <w:szCs w:val="18"/>
        </w:rPr>
        <w:t>19</w:t>
      </w:r>
    </w:p>
    <w:p w14:paraId="20B87F95" w14:textId="77777777" w:rsidR="00A2611F" w:rsidRDefault="00000000">
      <w:pPr>
        <w:spacing w:after="20"/>
        <w:ind w:left="300"/>
      </w:pPr>
      <w:r>
        <w:rPr>
          <w:sz w:val="18"/>
          <w:szCs w:val="18"/>
        </w:rPr>
        <w:t>4.4 In-Store Metric Standards</w:t>
      </w:r>
      <w:r>
        <w:ptab w:relativeTo="margin" w:alignment="right" w:leader="dot"/>
      </w:r>
      <w:r>
        <w:rPr>
          <w:sz w:val="18"/>
          <w:szCs w:val="18"/>
        </w:rPr>
        <w:t>19</w:t>
      </w:r>
    </w:p>
    <w:p w14:paraId="61032FA0" w14:textId="77777777" w:rsidR="00A2611F" w:rsidRDefault="00000000">
      <w:pPr>
        <w:spacing w:after="20"/>
        <w:ind w:left="300"/>
      </w:pPr>
      <w:r>
        <w:rPr>
          <w:sz w:val="18"/>
          <w:szCs w:val="18"/>
        </w:rPr>
        <w:t>4.5 Build-Out Targets</w:t>
      </w:r>
      <w:r>
        <w:ptab w:relativeTo="margin" w:alignment="right" w:leader="dot"/>
      </w:r>
      <w:r>
        <w:rPr>
          <w:sz w:val="18"/>
          <w:szCs w:val="18"/>
        </w:rPr>
        <w:t>20</w:t>
      </w:r>
    </w:p>
    <w:p w14:paraId="5246E551" w14:textId="77777777" w:rsidR="00A2611F" w:rsidRDefault="00000000">
      <w:pPr>
        <w:spacing w:after="20"/>
      </w:pPr>
      <w:r>
        <w:rPr>
          <w:b/>
          <w:bCs/>
          <w:sz w:val="18"/>
          <w:szCs w:val="18"/>
        </w:rPr>
        <w:t>5. Optimization Guide</w:t>
      </w:r>
      <w:r>
        <w:ptab w:relativeTo="margin" w:alignment="right" w:leader="dot"/>
      </w:r>
      <w:r>
        <w:rPr>
          <w:b/>
          <w:bCs/>
          <w:sz w:val="18"/>
          <w:szCs w:val="18"/>
        </w:rPr>
        <w:t>21</w:t>
      </w:r>
    </w:p>
    <w:p w14:paraId="04D82640" w14:textId="77777777" w:rsidR="00A2611F" w:rsidRDefault="00000000">
      <w:pPr>
        <w:spacing w:after="20"/>
        <w:ind w:left="300"/>
      </w:pPr>
      <w:r>
        <w:rPr>
          <w:sz w:val="18"/>
          <w:szCs w:val="18"/>
        </w:rPr>
        <w:t>5.1 What This Means for Retailers</w:t>
      </w:r>
      <w:r>
        <w:ptab w:relativeTo="margin" w:alignment="right" w:leader="dot"/>
      </w:r>
      <w:r>
        <w:rPr>
          <w:sz w:val="18"/>
          <w:szCs w:val="18"/>
        </w:rPr>
        <w:t>21</w:t>
      </w:r>
    </w:p>
    <w:p w14:paraId="73402636" w14:textId="77777777" w:rsidR="00A2611F" w:rsidRDefault="00000000">
      <w:pPr>
        <w:spacing w:after="20"/>
        <w:ind w:left="300"/>
      </w:pPr>
      <w:r>
        <w:rPr>
          <w:sz w:val="18"/>
          <w:szCs w:val="18"/>
        </w:rPr>
        <w:t>5.2 What This Means for Brands</w:t>
      </w:r>
      <w:r>
        <w:ptab w:relativeTo="margin" w:alignment="right" w:leader="dot"/>
      </w:r>
      <w:r>
        <w:rPr>
          <w:sz w:val="18"/>
          <w:szCs w:val="18"/>
        </w:rPr>
        <w:t>21</w:t>
      </w:r>
    </w:p>
    <w:p w14:paraId="7F06D1F6" w14:textId="77777777" w:rsidR="00A2611F" w:rsidRDefault="00000000">
      <w:pPr>
        <w:spacing w:after="20"/>
        <w:ind w:left="300"/>
      </w:pPr>
      <w:r>
        <w:rPr>
          <w:sz w:val="18"/>
          <w:szCs w:val="18"/>
        </w:rPr>
        <w:t>5.3 Governance: Tier Declaration &amp; Challenge</w:t>
      </w:r>
      <w:r>
        <w:ptab w:relativeTo="margin" w:alignment="right" w:leader="dot"/>
      </w:r>
      <w:r>
        <w:rPr>
          <w:sz w:val="18"/>
          <w:szCs w:val="18"/>
        </w:rPr>
        <w:t>22</w:t>
      </w:r>
    </w:p>
    <w:p w14:paraId="43B1BD62" w14:textId="77777777" w:rsidR="00A2611F" w:rsidRDefault="00000000">
      <w:pPr>
        <w:spacing w:after="20"/>
      </w:pPr>
      <w:r>
        <w:rPr>
          <w:b/>
          <w:bCs/>
          <w:sz w:val="18"/>
          <w:szCs w:val="18"/>
        </w:rPr>
        <w:t>6. Glossary / Definition Reference</w:t>
      </w:r>
      <w:r>
        <w:ptab w:relativeTo="margin" w:alignment="right" w:leader="dot"/>
      </w:r>
      <w:r>
        <w:rPr>
          <w:b/>
          <w:bCs/>
          <w:sz w:val="18"/>
          <w:szCs w:val="18"/>
        </w:rPr>
        <w:t>23</w:t>
      </w:r>
    </w:p>
    <w:p w14:paraId="14BB2B8D" w14:textId="77777777" w:rsidR="00A2611F" w:rsidRDefault="00000000">
      <w:pPr>
        <w:spacing w:after="20"/>
      </w:pPr>
      <w:r>
        <w:rPr>
          <w:b/>
          <w:bCs/>
          <w:sz w:val="18"/>
          <w:szCs w:val="18"/>
        </w:rPr>
        <w:t>Appendix A — Master Metric Matrix</w:t>
      </w:r>
      <w:r>
        <w:ptab w:relativeTo="margin" w:alignment="right" w:leader="dot"/>
      </w:r>
      <w:r>
        <w:rPr>
          <w:b/>
          <w:bCs/>
          <w:sz w:val="18"/>
          <w:szCs w:val="18"/>
        </w:rPr>
        <w:t>24</w:t>
      </w:r>
    </w:p>
    <w:p w14:paraId="6B82769E" w14:textId="77777777" w:rsidR="00A2611F" w:rsidRDefault="00000000">
      <w:pPr>
        <w:spacing w:after="20"/>
      </w:pPr>
      <w:r>
        <w:rPr>
          <w:b/>
          <w:bCs/>
          <w:sz w:val="18"/>
          <w:szCs w:val="18"/>
        </w:rPr>
        <w:t>Appendix B — Survey Instrument</w:t>
      </w:r>
      <w:r>
        <w:ptab w:relativeTo="margin" w:alignment="right" w:leader="dot"/>
      </w:r>
      <w:r>
        <w:rPr>
          <w:b/>
          <w:bCs/>
          <w:sz w:val="18"/>
          <w:szCs w:val="18"/>
        </w:rPr>
        <w:t>26</w:t>
      </w:r>
    </w:p>
    <w:p w14:paraId="070D86A9" w14:textId="77777777" w:rsidR="00A2611F" w:rsidRDefault="00000000">
      <w:pPr>
        <w:spacing w:after="20"/>
      </w:pPr>
      <w:r>
        <w:rPr>
          <w:b/>
          <w:bCs/>
          <w:sz w:val="18"/>
          <w:szCs w:val="18"/>
        </w:rPr>
        <w:t>Appendix C — Open Items for Task Force Resolution</w:t>
      </w:r>
      <w:r>
        <w:ptab w:relativeTo="margin" w:alignment="right" w:leader="dot"/>
      </w:r>
      <w:r>
        <w:rPr>
          <w:b/>
          <w:bCs/>
          <w:sz w:val="18"/>
          <w:szCs w:val="18"/>
        </w:rPr>
        <w:t>27</w:t>
      </w:r>
    </w:p>
    <w:p w14:paraId="2CF3AD3B" w14:textId="77777777" w:rsidR="00A2611F" w:rsidRDefault="00000000">
      <w:r>
        <w:br w:type="page"/>
      </w:r>
    </w:p>
    <w:p w14:paraId="1B496DE1" w14:textId="77777777" w:rsidR="00A2611F" w:rsidRDefault="00000000">
      <w:pPr>
        <w:pStyle w:val="Heading1"/>
      </w:pPr>
      <w:r>
        <w:lastRenderedPageBreak/>
        <w:t>Revision Summary</w:t>
      </w:r>
    </w:p>
    <w:p w14:paraId="2F901AE3" w14:textId="77777777" w:rsidR="00A2611F" w:rsidRDefault="00000000">
      <w:pPr>
        <w:spacing w:after="160" w:line="276" w:lineRule="auto"/>
        <w:jc w:val="both"/>
      </w:pPr>
      <w:r>
        <w:t>This version incorporates the Task Force's inline review comments on the July 2026 working draft together with consolidated written feedback received afterward. The changes are substantive rather than editorial in most sections, so this summary is organized by the same seven themes used in the feedback review, with a pointer to where each change now lives in the standard. Items that are recommendations rather than settled decisions are marked as such in the body text, and a full list of points still requiring a Task Force vote is carried in Appendix C rather than left implicit.</w:t>
      </w:r>
    </w:p>
    <w:p w14:paraId="466430FC" w14:textId="77777777" w:rsidR="00A2611F" w:rsidRDefault="00000000">
      <w:pPr>
        <w:spacing w:after="160" w:line="276" w:lineRule="auto"/>
        <w:jc w:val="both"/>
      </w:pPr>
      <w:r>
        <w:rPr>
          <w:b/>
          <w:bCs/>
        </w:rPr>
        <w:t xml:space="preserve">1. Reporting &amp; data requirements. </w:t>
      </w:r>
      <w:r>
        <w:t>A new §1.10 sets raw-data, cadence, and granularity requirements tied to conversion windows and campaign end dates, and establishes that attribution window, gross/net basis, and extrapolation percentage must travel with the reported figure rather than sit separately in methodology notes.</w:t>
      </w:r>
    </w:p>
    <w:p w14:paraId="0CB80812" w14:textId="77777777" w:rsidR="00A2611F" w:rsidRDefault="00000000">
      <w:pPr>
        <w:spacing w:after="160" w:line="276" w:lineRule="auto"/>
        <w:jc w:val="both"/>
      </w:pPr>
      <w:r>
        <w:rPr>
          <w:b/>
          <w:bCs/>
        </w:rPr>
        <w:t xml:space="preserve">2. Data quality &amp; extrapolation. </w:t>
      </w:r>
      <w:r>
        <w:t>§1.2 now requires disclosure of the extrapolation methodology itself, not only the resulting percentage. §1.6 sets an explicit Foundational floor for GIVT filtering. §1.9 adds POPIA guidance on loyalty matching and clean-room lawful basis. §2.5 clarifies that loyalty linkage must state its calculation basis — transactions, revenue, units, or impressions.</w:t>
      </w:r>
    </w:p>
    <w:p w14:paraId="0B1A49D3" w14:textId="77777777" w:rsidR="00A2611F" w:rsidRDefault="00000000">
      <w:pPr>
        <w:spacing w:after="160" w:line="276" w:lineRule="auto"/>
        <w:jc w:val="both"/>
      </w:pPr>
      <w:r>
        <w:rPr>
          <w:b/>
          <w:bCs/>
        </w:rPr>
        <w:t xml:space="preserve">3. Sales, ROAS &amp; attribution. </w:t>
      </w:r>
      <w:r>
        <w:t>§1.4 clarifies VAT treatment and the handling of discounts, promotions, and vouchers, and introduces net sales as a Standard-tier requirement for the on-site environment. §2.2 splits Halo ROAS from a new Total Attributed ROAS, defines post-click versus post-view windows in §1.8, and addresses first-party versus third-party marketplace sales.</w:t>
      </w:r>
    </w:p>
    <w:p w14:paraId="0A8EC85F" w14:textId="77777777" w:rsidR="00A2611F" w:rsidRDefault="00000000">
      <w:pPr>
        <w:spacing w:after="160" w:line="276" w:lineRule="auto"/>
        <w:jc w:val="both"/>
      </w:pPr>
      <w:r>
        <w:rPr>
          <w:b/>
          <w:bCs/>
        </w:rPr>
        <w:t xml:space="preserve">4. Customer &amp; shopper intelligence. </w:t>
      </w:r>
      <w:r>
        <w:t>§2.2 adds basket composition and attach-rate reporting. A new §2.3.1 relocates Shopper Intelligence into Customer Insights, keeping Section 3 focused on causal measurement. NTB/NTC lookback windows are defined explicitly, cross-sell is broadened to related products from the same advertiser, and keyword/placement granularity is added to search-driven metrics.</w:t>
      </w:r>
    </w:p>
    <w:p w14:paraId="22A99824" w14:textId="77777777" w:rsidR="00A2611F" w:rsidRDefault="00000000">
      <w:pPr>
        <w:spacing w:after="160" w:line="276" w:lineRule="auto"/>
        <w:jc w:val="both"/>
      </w:pPr>
      <w:r>
        <w:rPr>
          <w:b/>
          <w:bCs/>
        </w:rPr>
        <w:t xml:space="preserve">5. Incrementality. </w:t>
      </w:r>
      <w:r>
        <w:t>§3.1 is substantially rewritten and now grounded in current recognized international guidance for incremental measurement in commerce media: pre/post comparison is renamed directional sales lift and is no longer labelled incrementality; the three requirements for a causal claim are stated explicitly; the four recognised method categories are mapped to this standard's tiers with SA-specific context; and a business-question-to-method table is added.</w:t>
      </w:r>
    </w:p>
    <w:p w14:paraId="5F3E5652" w14:textId="77777777" w:rsidR="00A2611F" w:rsidRDefault="00000000">
      <w:pPr>
        <w:spacing w:after="160" w:line="276" w:lineRule="auto"/>
        <w:jc w:val="both"/>
      </w:pPr>
      <w:r>
        <w:rPr>
          <w:b/>
          <w:bCs/>
        </w:rPr>
        <w:t xml:space="preserve">6. In-store. </w:t>
      </w:r>
      <w:r>
        <w:t>§4.2 separates the impression-side spine (Traffic → OTS → Verified Playout → Verified Impression) from the reach-side spine (Estimated Unique Reach → Verified Reach). §4.4 splits In-Store Sales Lift from In-Store Conversion Lift and adds Verified Playout as its own row. §4.5 adds test/control guidance on store-location comparability and media play-time alignment.</w:t>
      </w:r>
    </w:p>
    <w:p w14:paraId="75827F4C" w14:textId="642048EE" w:rsidR="00A2611F" w:rsidRDefault="00017D75">
      <w:pPr>
        <w:spacing w:after="160" w:line="276" w:lineRule="auto"/>
        <w:jc w:val="both"/>
      </w:pPr>
      <w:r>
        <w:rPr>
          <w:b/>
          <w:bCs/>
        </w:rPr>
        <w:t xml:space="preserve">8. Tiering &amp; governance. </w:t>
      </w:r>
      <w:r>
        <w:t>§1.1 adds a Not Applicable option to the tier declaration. A new §5.3 proposes annual tier re-declaration and a buyer challenge mechanism. Final tier terminology remains open and is tracked in Appendix C along with the other items still requiring Task Force decision.</w:t>
      </w:r>
    </w:p>
    <w:p w14:paraId="31D58DD8" w14:textId="48E09375" w:rsidR="00017D75" w:rsidRDefault="00017D75" w:rsidP="00017D75">
      <w:pPr>
        <w:spacing w:after="160" w:line="276" w:lineRule="auto"/>
        <w:jc w:val="both"/>
      </w:pPr>
      <w:r>
        <w:rPr>
          <w:b/>
          <w:bCs/>
        </w:rPr>
        <w:t xml:space="preserve">10. Delivery metrics as a mandatory floor. </w:t>
      </w:r>
      <w:r>
        <w:t xml:space="preserve">Section 1.1 and the opening of Section 2.1 now state explicitly that the core delivery metrics — Ad Impression, Click/CTR, Spend/CPM/CPC, and Reach &amp; Frequency — carry no Not Applicable declaration and must be reported at Standard tier or above by every retailer in this standard, regardless of business model or channel mix. Not Applicable remains available at the individual-format level within delivery (for example Video Completion Rate where no video inventory runs), and continues to apply as before to every other metric family — Conversion/ROAS, Customer Insights, Audiences &amp; Cross-Channel Attribution, Advanced Measurement, and In-Store — where a retailer's business model genuinely does not produce that metric. This distinction was implicit in v0.2 and is now </w:t>
      </w:r>
      <w:r>
        <w:lastRenderedPageBreak/>
        <w:t>stated as an explicit principle so a retailer cannot decline the delivery floor the way it legitimately can decline a conditional metric.</w:t>
      </w:r>
    </w:p>
    <w:p w14:paraId="68AF72A8" w14:textId="77777777" w:rsidR="00017D75" w:rsidRDefault="00017D75" w:rsidP="00017D75">
      <w:pPr>
        <w:spacing w:after="160" w:line="276" w:lineRule="auto"/>
        <w:jc w:val="both"/>
      </w:pPr>
      <w:r>
        <w:rPr>
          <w:b/>
          <w:bCs/>
        </w:rPr>
        <w:t xml:space="preserve">2. Consolidation of Foundational into Standard. </w:t>
      </w:r>
      <w:r>
        <w:t>Section 1.1 retires the three-level tier model (Foundational, Standard, Advanced) used through v0.2 and replaces it with two levels, Standard and Advanced, plus Not Applicable. Standard now carries the fuller of the two prior requirements wherever Foundational and Standard previously asked for different things on a metric, so it functions as a single mandatory reporting floor rather than an upper step above an easier entry level. Every tier column across Sections 2 and 4, and the minimum-reportable column in Appendix A, is reduced from three columns to two accordingly. This raises the reporting floor market-wide and is a substantive change, not a relabeling; the "Calibration to the SA market" note in §1.1 flags the resulting compliance risk for less mature retailers explicitly, and the Task Force should treat early adoption data as a signal of whether the new floor needs a transition period in specific categories.</w:t>
      </w:r>
    </w:p>
    <w:p w14:paraId="0B28A884" w14:textId="77777777" w:rsidR="00017D75" w:rsidRDefault="00017D75">
      <w:pPr>
        <w:spacing w:after="160" w:line="276" w:lineRule="auto"/>
        <w:jc w:val="both"/>
      </w:pPr>
    </w:p>
    <w:p w14:paraId="2A5A7BF3" w14:textId="77777777" w:rsidR="00A2611F" w:rsidRDefault="00000000">
      <w:r>
        <w:br w:type="page"/>
      </w:r>
    </w:p>
    <w:p w14:paraId="6C51DE22" w14:textId="77777777" w:rsidR="00A2611F" w:rsidRDefault="00000000">
      <w:pPr>
        <w:pStyle w:val="Heading1"/>
      </w:pPr>
      <w:r>
        <w:lastRenderedPageBreak/>
        <w:t>How to Read This Document</w:t>
      </w:r>
    </w:p>
    <w:p w14:paraId="1BC3BBC9" w14:textId="77777777" w:rsidR="00A2611F" w:rsidRDefault="00000000">
      <w:pPr>
        <w:spacing w:after="160" w:line="276" w:lineRule="auto"/>
        <w:jc w:val="both"/>
      </w:pPr>
      <w:r>
        <w:t>This document sets a common measurement standard for retail media in South Africa. It does not invent new metrics; it contextualises established global standards to the realities of the South African market, which is characterised by a predominantly physical retail base, high cash usage, and attribution that depends heavily on loyalty-ID linkage.</w:t>
      </w:r>
    </w:p>
    <w:p w14:paraId="3F07C431" w14:textId="77777777" w:rsidR="00A2611F" w:rsidRDefault="00000000">
      <w:pPr>
        <w:spacing w:after="160" w:line="276" w:lineRule="auto"/>
        <w:jc w:val="both"/>
      </w:pPr>
      <w:r>
        <w:t>Four devices run through the whole document.</w:t>
      </w:r>
    </w:p>
    <w:p w14:paraId="27FE7228" w14:textId="77777777" w:rsidR="00A2611F" w:rsidRDefault="00000000">
      <w:pPr>
        <w:spacing w:after="160" w:line="276" w:lineRule="auto"/>
        <w:jc w:val="both"/>
      </w:pPr>
      <w:r>
        <w:rPr>
          <w:b/>
          <w:bCs/>
        </w:rPr>
        <w:t xml:space="preserve">The tier model. </w:t>
      </w:r>
      <w:r>
        <w:t>Every requirement is set at two working levels — Standard and Advanced — plus a Not Applicable declaration for metrics a retailer's business model does not produce (§1.1). Standard is the mandatory floor: every metric a retailer reports must clear it, and a retailer self-declares the tier at which it reports each metric, accepting the disclosure obligation that tier carries. A Standard-tier reporter may still extrapolate, provided the extrapolation and its methodology are disclosed (§1.2). Standard and Advanced are working labels rather than a finished decision — the naming question is tracked in Appendix C.</w:t>
      </w:r>
    </w:p>
    <w:p w14:paraId="676E20A7" w14:textId="77777777" w:rsidR="00A2611F" w:rsidRDefault="00000000">
      <w:pPr>
        <w:spacing w:after="160" w:line="276" w:lineRule="auto"/>
        <w:jc w:val="both"/>
      </w:pPr>
      <w:r>
        <w:rPr>
          <w:b/>
          <w:bCs/>
        </w:rPr>
        <w:t xml:space="preserve">Delivery as a mandatory floor. </w:t>
      </w:r>
      <w:r>
        <w:t>Unlike every other metric family in this standard, the core delivery metrics in §2.1 carry no Not Applicable option and are a required Standard-tier minimum for any retailer serving paid media at all, explained fully in §1.1 and at the top of §2.1.</w:t>
      </w:r>
    </w:p>
    <w:p w14:paraId="06E78262" w14:textId="77777777" w:rsidR="00A2611F" w:rsidRDefault="00000000">
      <w:pPr>
        <w:spacing w:after="160" w:line="276" w:lineRule="auto"/>
        <w:jc w:val="both"/>
      </w:pPr>
      <w:r>
        <w:rPr>
          <w:b/>
          <w:bCs/>
        </w:rPr>
        <w:t xml:space="preserve">The environment map. </w:t>
      </w:r>
      <w:r>
        <w:t>Digital metrics are defined once and mapped across the four environments in which retail media runs — On-site, Off-site, Direct Marketing, and In-Store. A checkmark shows where a metric applies; a dash shows where it does not. This avoids restating the same metric per channel and makes clear, for example, that Same-SKU ROAS applies everywhere while Open Rate belongs only to direct marketing.</w:t>
      </w:r>
    </w:p>
    <w:p w14:paraId="7A81A9A9" w14:textId="77777777" w:rsidR="00A2611F" w:rsidRDefault="00000000">
      <w:pPr>
        <w:spacing w:after="160" w:line="276" w:lineRule="auto"/>
        <w:jc w:val="both"/>
      </w:pPr>
      <w:r>
        <w:rPr>
          <w:b/>
          <w:bCs/>
        </w:rPr>
        <w:t xml:space="preserve">Portable disclosure. </w:t>
      </w:r>
      <w:r>
        <w:t>A figure and its basis should not be separable. Wherever this standard requires a disclosure — an attribution window, a gross/net basis, an extrapolation percentage, a loyalty-linkage rate — that disclosure is written to travel with the reported number itself, in the same table cell or the same sentence, rather than sit in a separate methodology appendix a reader may never reach. This principle is applied throughout Sections 1 and 2.</w:t>
      </w:r>
    </w:p>
    <w:p w14:paraId="5B56C436" w14:textId="77777777" w:rsidR="00A2611F" w:rsidRDefault="00000000">
      <w:pPr>
        <w:spacing w:after="160" w:line="276" w:lineRule="auto"/>
        <w:jc w:val="both"/>
      </w:pPr>
      <w:r>
        <w:t>Governing thesis. Retail media measurement is an organisational-alignment problem before it is a data problem. The same audience construct should serve as the measurement primitive. Where buyers and retailers disagree, it is most often because a definition, a window, or a disclosure was never agreed, not because the data could not be produced. This standard exists to make those agreements explicit.</w:t>
      </w:r>
    </w:p>
    <w:p w14:paraId="2AB2235C" w14:textId="77777777" w:rsidR="00A2611F" w:rsidRDefault="00000000">
      <w:r>
        <w:br w:type="page"/>
      </w:r>
    </w:p>
    <w:p w14:paraId="0F034ECD" w14:textId="77777777" w:rsidR="00A2611F" w:rsidRDefault="00000000">
      <w:pPr>
        <w:pStyle w:val="Heading1"/>
      </w:pPr>
      <w:r>
        <w:lastRenderedPageBreak/>
        <w:t>1. Data Quality</w:t>
      </w:r>
    </w:p>
    <w:p w14:paraId="0CF2C1CD" w14:textId="77777777" w:rsidR="00A2611F" w:rsidRDefault="00000000">
      <w:pPr>
        <w:spacing w:after="160" w:line="276" w:lineRule="auto"/>
        <w:jc w:val="both"/>
      </w:pPr>
      <w:r>
        <w:t>Data quality is the integrity layer the rest of the standard rests on. A ROAS figure, an incrementality result, or an in-store impression count is only as trustworthy as the data discipline beneath it. This section sets the rules that apply before any metric is reported, and now also sets the raw-data, cadence, and portability requirements that the Task Force asked to see made explicit rather than assumed.</w:t>
      </w:r>
    </w:p>
    <w:p w14:paraId="58019935" w14:textId="77777777" w:rsidR="00A2611F" w:rsidRDefault="00000000">
      <w:pPr>
        <w:pStyle w:val="Heading2"/>
      </w:pPr>
      <w:r>
        <w:t>1.1 The Tier Model</w:t>
      </w:r>
    </w:p>
    <w:p w14:paraId="505F67E3" w14:textId="77777777" w:rsidR="00A2611F" w:rsidRDefault="00000000">
      <w:pPr>
        <w:spacing w:after="160" w:line="276" w:lineRule="auto"/>
        <w:jc w:val="both"/>
      </w:pPr>
      <w:r>
        <w:t>Each metric in this standard carries a requirement at two working tiers, plus a third declaration for metrics that do not apply. Standard is the single reporting floor for every metric a retailer reports; Advanced sits above it for retailers with more mature measurement capability. A retailer declares the tier at which it reports each metric; the declaration is itself a disclosure that buyers can read.</w:t>
      </w:r>
    </w:p>
    <w:p w14:paraId="77213CF0" w14:textId="77777777" w:rsidR="00A2611F" w:rsidRDefault="00000000">
      <w:pPr>
        <w:pStyle w:val="ListParagraph"/>
        <w:numPr>
          <w:ilvl w:val="0"/>
          <w:numId w:val="1"/>
        </w:numPr>
        <w:spacing w:after="100" w:line="276" w:lineRule="auto"/>
        <w:jc w:val="both"/>
      </w:pPr>
      <w:r>
        <w:rPr>
          <w:b/>
          <w:bCs/>
        </w:rPr>
        <w:t xml:space="preserve">Standard. </w:t>
      </w:r>
      <w:r>
        <w:t>The metric is reported with its method and any extrapolation disclosed, at finer granularity, with invalid traffic filtered and key splits (for example gross and net, or click and view) separated. Modelled or estimated components are permitted provided they are labelled, and the extrapolation methodology — not only the resulting percentage — is described (§1.2). This is the reporting floor: every metric a retailer reports, other than one declared Not Applicable, must clear this bar.</w:t>
      </w:r>
    </w:p>
    <w:p w14:paraId="512BBC59" w14:textId="77777777" w:rsidR="00A2611F" w:rsidRDefault="00000000">
      <w:pPr>
        <w:pStyle w:val="ListParagraph"/>
        <w:numPr>
          <w:ilvl w:val="0"/>
          <w:numId w:val="1"/>
        </w:numPr>
        <w:spacing w:after="100" w:line="276" w:lineRule="auto"/>
        <w:jc w:val="both"/>
      </w:pPr>
      <w:r>
        <w:rPr>
          <w:b/>
          <w:bCs/>
        </w:rPr>
        <w:t xml:space="preserve">Advanced. </w:t>
      </w:r>
      <w:r>
        <w:t>The metric is reported deterministically where possible, reconciled to source, and supported by independent audit or clean-room verification.</w:t>
      </w:r>
    </w:p>
    <w:p w14:paraId="15E5713C" w14:textId="77777777" w:rsidR="00A2611F" w:rsidRDefault="00000000">
      <w:pPr>
        <w:pStyle w:val="ListParagraph"/>
        <w:numPr>
          <w:ilvl w:val="0"/>
          <w:numId w:val="1"/>
        </w:numPr>
        <w:spacing w:after="100" w:line="276" w:lineRule="auto"/>
        <w:jc w:val="both"/>
      </w:pPr>
      <w:r>
        <w:rPr>
          <w:b/>
          <w:bCs/>
        </w:rPr>
        <w:t xml:space="preserve">Not Applicable. </w:t>
      </w:r>
      <w:r>
        <w:t>Where a metric is genuinely outside a retailer's business model — for example Halo ROAS for a single-SKU specialist, or Direct Marketing metrics for a retailer with no owned messaging channel — the retailer declares Not Applicable rather than leaving the cell blank or forcing a Standard-tier entry with no underlying data. Not Applicable is a disclosure, and the Task Force intends to track its use across the market over time as an indicator of category coverage and market maturity, not as a way to avoid reporting.</w:t>
      </w:r>
    </w:p>
    <w:p w14:paraId="1E35C88A" w14:textId="77777777" w:rsidR="00A2611F" w:rsidRDefault="00000000">
      <w:pPr>
        <w:pStyle w:val="Heading3"/>
      </w:pPr>
      <w:r>
        <w:t>Delivery as a mandatory floor</w:t>
      </w:r>
    </w:p>
    <w:p w14:paraId="105B2363" w14:textId="77777777" w:rsidR="00A2611F" w:rsidRDefault="00000000">
      <w:pPr>
        <w:spacing w:after="160" w:line="276" w:lineRule="auto"/>
        <w:jc w:val="both"/>
      </w:pPr>
      <w:r>
        <w:t>Delivery metrics are the exception to the Not Applicable option. Every retailer that serves any paid media through its network produces impressions, clicks, and spend by definition, so the core delivery metrics in Section 2.1 (Ad Impression, Click/CTR, Spend/CPM/CPC, and Reach &amp; Frequency) carry no Not Applicable declaration and must be reported at Standard tier or above by every retailer, regardless of size, channel mix, or business model. Not Applicable remains available only at the individual format level within delivery, for example Video Completion Rate where a retailer runs no video inventory, and does not extend to the delivery category as a whole.</w:t>
      </w:r>
    </w:p>
    <w:p w14:paraId="13694ADC" w14:textId="77777777" w:rsidR="00A2611F" w:rsidRDefault="00000000">
      <w:pPr>
        <w:spacing w:after="160" w:line="276" w:lineRule="auto"/>
        <w:jc w:val="both"/>
      </w:pPr>
      <w:r>
        <w:t>Every other metric family in this standard, including Conversion and ROAS, Customer Insights, Audiences and Cross-Channel Attribution, Advanced Measurement, and In-Store, is conditional rather than mandatory. A retailer reports a metric at whichever tier its capability supports only where that metric is one it actually uses or its business model produces; where it is not, Not Applicable is the correct and complete declaration and carries no penalty or inference of immaturity beyond what Not Applicable itself discloses.</w:t>
      </w:r>
    </w:p>
    <w:p w14:paraId="49698EBF" w14:textId="77777777" w:rsidR="00A2611F" w:rsidRDefault="00000000">
      <w:pPr>
        <w:spacing w:after="160" w:line="276" w:lineRule="auto"/>
        <w:jc w:val="both"/>
      </w:pPr>
      <w:r>
        <w:t xml:space="preserve">Calibration to the SA market. The Standard floor is a genuine bar: a retailer cannot report a lightly disclosed, unfiltered figure and call it compliant. Two structural features of this market — high cash usage and dependence on loyalty-ID linkage for offline attribution — mean this is a real stretch for less mature retailers on some metrics, not a formality, and the Task Force should watch adoption data closely for signs that the floor is unrealistic in specific categories. Where a retailer genuinely cannot yet clear the Standard bar on a metric it does report, Not Applicable is not the correct declaration, since the metric is in use, not out of scope; the standard's answer for that gap is disclosure of the shortfall itself rather than a </w:t>
      </w:r>
      <w:r>
        <w:lastRenderedPageBreak/>
        <w:t>false Standard-tier entry, and the Task Force should monitor how often that gap appears as a signal of whether more transition time is needed. The standard rewards honesty about coverage over false precision.</w:t>
      </w:r>
    </w:p>
    <w:p w14:paraId="71961165" w14:textId="77777777" w:rsidR="00A2611F" w:rsidRDefault="00000000">
      <w:pPr>
        <w:pStyle w:val="Heading3"/>
      </w:pPr>
      <w:r>
        <w:t>Open item</w:t>
      </w:r>
    </w:p>
    <w:p w14:paraId="252651FE" w14:textId="77777777" w:rsidR="00A2611F" w:rsidRDefault="00000000">
      <w:pPr>
        <w:spacing w:after="160" w:line="276" w:lineRule="auto"/>
        <w:jc w:val="both"/>
      </w:pPr>
      <w:r>
        <w:t>Final tier terminology is still open. The standard uses Standard and Advanced as its two working labels; what remains open is whether these are themselves the right names, given that Standard functions as a hard floor rather than an easier entry point, or whether a different pair of labels would signal that more clearly to the market. This is tracked in Appendix C for Task Force resolution.</w:t>
      </w:r>
    </w:p>
    <w:p w14:paraId="4A245251" w14:textId="77777777" w:rsidR="00A2611F" w:rsidRDefault="00000000">
      <w:pPr>
        <w:pStyle w:val="Heading2"/>
      </w:pPr>
      <w:r>
        <w:t>1.2 Modelled vs Deterministic</w:t>
      </w:r>
    </w:p>
    <w:p w14:paraId="6E76CD7B" w14:textId="77777777" w:rsidR="00A2611F" w:rsidRDefault="00000000">
      <w:pPr>
        <w:spacing w:after="160" w:line="276" w:lineRule="auto"/>
        <w:jc w:val="both"/>
      </w:pPr>
      <w:r>
        <w:t>This is the keystone rule of the South African standard. Wherever a reported outcome — sales, units, reach — is partly modelled or extrapolated rather than deterministically linked to an exposure, the extrapolated percentage must be disclosed, and it must be disclosed alongside the number it qualifies rather than in a separate methodology note (see Portable Disclosure, above). The reason is specific to this market: a large share of retail transactions are cash and cannot be linked to an identity, so attributed outcomes are extrapolated from the identified, loyalty-linked minority. A ROAS that silently extrapolates from thirty percent of transactions to one hundred percent of sales is not wrong, but it is not interpretable without the extrapolation rate. Disclosure makes it interpretable.</w:t>
      </w:r>
    </w:p>
    <w:p w14:paraId="5EB5E2A4" w14:textId="77777777" w:rsidR="00A2611F" w:rsidRDefault="00000000">
      <w:pPr>
        <w:spacing w:after="160" w:line="276" w:lineRule="auto"/>
        <w:jc w:val="both"/>
      </w:pPr>
      <w:r>
        <w:t>Methodology, not just the number. A percentage alone tells a buyer how much of the figure is modelled but not how. From Standard tier upward, the retailer must also disclose the extrapolation method in summary form — for example, whether unmatched cash baskets are assumed to behave like the average loyalty-linked basket in the same store and daypart, or whether a more granular weighting is applied by category, store format, or time. This lets a buyer judge whether the extrapolation is likely to be conservative, aggressive, or roughly neutral for their category, which the percentage alone cannot convey.</w:t>
      </w:r>
    </w:p>
    <w:p w14:paraId="02C48A45" w14:textId="77777777" w:rsidR="00A2611F" w:rsidRDefault="00000000">
      <w:pPr>
        <w:pStyle w:val="Heading2"/>
      </w:pPr>
      <w:r>
        <w:t>1.3 Cash &amp; Low-Traceability Transactions</w:t>
      </w:r>
    </w:p>
    <w:p w14:paraId="48F920A1" w14:textId="77777777" w:rsidR="00A2611F" w:rsidRDefault="00000000">
      <w:pPr>
        <w:spacing w:after="160" w:line="276" w:lineRule="auto"/>
        <w:jc w:val="both"/>
      </w:pPr>
      <w:r>
        <w:t>Cash and other low-traceability payment methods must be specifically accounted for and disclosed. Retailers should report the share of relevant transactions that could not be linked to an exposure or identity, and state how those transactions were treated in attributed outcomes — excluded, or extrapolated from linked transactions. The loyalty-ID linkage rate is the gating metric here: it sets the deterministic base from which everything else is extrapolated, and should be reported alongside any closed-loop outcome.</w:t>
      </w:r>
    </w:p>
    <w:p w14:paraId="186596BC" w14:textId="77777777" w:rsidR="00A2611F" w:rsidRDefault="00000000">
      <w:pPr>
        <w:spacing w:after="160" w:line="276" w:lineRule="auto"/>
        <w:jc w:val="both"/>
      </w:pPr>
      <w:r>
        <w:t>Calculation basis. Loyalty linkage must state which of four bases it is calculated against — transaction count, revenue value, units, or impressions — since these can diverge materially where cash baskets differ systematically in size or category mix from loyalty-linked baskets. A linkage rate reported by transaction count alone can overstate or understate the linked share of revenue. See §2.5 for the corresponding audience-side requirement.</w:t>
      </w:r>
    </w:p>
    <w:p w14:paraId="0C547767" w14:textId="77777777" w:rsidR="00A2611F" w:rsidRDefault="00000000">
      <w:pPr>
        <w:spacing w:after="160" w:line="276" w:lineRule="auto"/>
        <w:jc w:val="both"/>
      </w:pPr>
      <w:r>
        <w:t>Data protection. Given the sensitivity of transaction- and identity-linked submissions under this standard, data shared for measurement or audit purposes should carry strong data-protection controls, and any market-level reporting derived from retailer submissions should be aggregated and disseminated in a non-identifiable form, consistent with the POPIA guidance in §1.9.</w:t>
      </w:r>
    </w:p>
    <w:p w14:paraId="1F755A60" w14:textId="77777777" w:rsidR="00A2611F" w:rsidRDefault="00000000">
      <w:pPr>
        <w:pStyle w:val="Heading2"/>
      </w:pPr>
      <w:r>
        <w:t>1.4 Gross vs Net Sales</w:t>
      </w:r>
    </w:p>
    <w:p w14:paraId="7418D1F0" w14:textId="77777777" w:rsidR="00A2611F" w:rsidRDefault="00000000">
      <w:pPr>
        <w:spacing w:after="160" w:line="276" w:lineRule="auto"/>
        <w:jc w:val="both"/>
      </w:pPr>
      <w:r>
        <w:t xml:space="preserve">Gross sales — recognised once payment is processed, regardless of subsequent returns — is the default reporting basis for South Africa. Net sales, defined as gross minus returns and cancellations, average roughly twenty percent lower and </w:t>
      </w:r>
      <w:r>
        <w:lastRenderedPageBreak/>
        <w:t>must be labelled as net wherever reported. A retailer may report either or both, but may not present net as gross or leave the basis unstated.</w:t>
      </w:r>
    </w:p>
    <w:p w14:paraId="773AE5CF" w14:textId="77777777" w:rsidR="00A2611F" w:rsidRDefault="00000000">
      <w:pPr>
        <w:spacing w:after="160" w:line="276" w:lineRule="auto"/>
        <w:jc w:val="both"/>
      </w:pPr>
      <w:r>
        <w:t>VAT. Every gross or net figure must state whether it is VAT-inclusive or VAT-exclusive. Where a retailer's point-of-sale system reports VAT-inclusive totals by default, that default should be disclosed rather than assumed by the reader.</w:t>
      </w:r>
    </w:p>
    <w:p w14:paraId="298F3FB2" w14:textId="77777777" w:rsidR="00A2611F" w:rsidRDefault="00000000">
      <w:pPr>
        <w:spacing w:after="160" w:line="276" w:lineRule="auto"/>
        <w:jc w:val="both"/>
      </w:pPr>
      <w:r>
        <w:t>Discounts, promotions, and vouchers. Attributed sales must state whether the reported value is calculated before or after discount, promotional, and voucher redemption. Campaigns that coincide with a promotional price or a voucher-funded discount can materially inflate a unit-based ROAS relative to a revenue-based one if the basis is not held constant and disclosed.</w:t>
      </w:r>
    </w:p>
    <w:p w14:paraId="778B4F20" w14:textId="77777777" w:rsidR="00A2611F" w:rsidRDefault="00000000">
      <w:pPr>
        <w:spacing w:after="160" w:line="276" w:lineRule="auto"/>
        <w:jc w:val="both"/>
      </w:pPr>
      <w:r>
        <w:t>First-party and third-party marketplace sales. Where a retailer operates both a first-party retail business and a third-party marketplace, gross and net sales figures must disclose which basis — first-party, third-party, or blended — is being reported. Third-party marketplace sales attributed to an individual reseller's listing should be identified as such rather than folded into the retailer's first-party gross sales figure.</w:t>
      </w:r>
    </w:p>
    <w:p w14:paraId="3667790F" w14:textId="77777777" w:rsidR="00A2611F" w:rsidRDefault="00000000">
      <w:pPr>
        <w:spacing w:after="160" w:line="276" w:lineRule="auto"/>
        <w:jc w:val="both"/>
      </w:pPr>
      <w:r>
        <w:t>Online net sales — Standard-tier requirement. For the on-site environment specifically, net sales move from an optional disclosure to a Standard-tier requirement: a retailer reporting on-site ROAS at Standard tier or above must report the net figure alongside gross, not merely offer to on request. This reflects that returns behaviour is both material and readily available from the same system that produces the gross figure online, unlike the in-store and cash contexts where net reconciliation is harder.</w:t>
      </w:r>
    </w:p>
    <w:p w14:paraId="3A9C06CC" w14:textId="77777777" w:rsidR="00A2611F" w:rsidRDefault="00000000">
      <w:pPr>
        <w:pStyle w:val="Heading2"/>
      </w:pPr>
      <w:r>
        <w:t>1.5 Viewability &amp; Measurability</w:t>
      </w:r>
    </w:p>
    <w:p w14:paraId="0EBD8B7E" w14:textId="77777777" w:rsidR="00A2611F" w:rsidRDefault="00000000">
      <w:pPr>
        <w:spacing w:after="160" w:line="276" w:lineRule="auto"/>
        <w:jc w:val="both"/>
      </w:pPr>
      <w:r>
        <w:t>Viewable impressions follow industry-recognized viewability thresholds: display at least fifty percent of pixels for at least one continuous second, video at least fifty percent for at least two seconds. At Standard tier and above, the measurability rate — the share of served impressions for which viewability could be determined — must accompany the viewability rate, and non-viewable impressions must be reported separately rather than folded into delivery counts. The measuring party — the retailer, the ad server, or a third-party verification vendor — must be disclosed alongside the rate; off-site viewability in particular is frequently measured by the off-site partner rather than the retailer, and that distinction should not be left implicit.</w:t>
      </w:r>
    </w:p>
    <w:p w14:paraId="189D09E9" w14:textId="77777777" w:rsidR="00A2611F" w:rsidRDefault="00000000">
      <w:pPr>
        <w:pStyle w:val="Heading2"/>
      </w:pPr>
      <w:r>
        <w:t>1.6 Invalid Traffic — GIVT and SIVT</w:t>
      </w:r>
    </w:p>
    <w:p w14:paraId="5B91FEC4" w14:textId="77777777" w:rsidR="00A2611F" w:rsidRDefault="00000000">
      <w:pPr>
        <w:spacing w:after="160" w:line="276" w:lineRule="auto"/>
        <w:jc w:val="both"/>
      </w:pPr>
      <w:r>
        <w:t>General Invalid Traffic must be filtered from all reported metrics at every tier, with no exception. The reporting floor is specific: filtration against a current, recognized bot and non-human-traffic list, or an equivalent recognized industry standard, applied at the ad-server or platform level before any impression, click, or delivery figure is reported. A retailer reporting an unfiltered figure at any tier must label it as such rather than present it as GIVT-filtered by default. Sophisticated Invalid Traffic filtration, per recognized invalid-traffic standards, is required for outcome measurement at Standard tier and above — the reporting floor itself, not a step beyond it — and where outcomes are reported without SIVT filtration, they must be separately labelled. Both GIVT and SIVT filtration are emerging capabilities in this market, and the Task Force should expect the SIVT requirement in particular to be a genuine stretch for some retailers in the near term.</w:t>
      </w:r>
    </w:p>
    <w:p w14:paraId="0AE79E37" w14:textId="77777777" w:rsidR="00A2611F" w:rsidRDefault="00000000">
      <w:pPr>
        <w:pStyle w:val="Heading2"/>
      </w:pPr>
      <w:r>
        <w:t>1.7 Duration Weighting</w:t>
      </w:r>
    </w:p>
    <w:p w14:paraId="72AD64DE" w14:textId="77777777" w:rsidR="00A2611F" w:rsidRDefault="00000000">
      <w:pPr>
        <w:spacing w:after="160" w:line="276" w:lineRule="auto"/>
        <w:jc w:val="both"/>
      </w:pPr>
      <w:r>
        <w:t>For cross-media comparison, viewable playback time relative to creative length should be reported at Advanced tier. Duration weighting normalises exposure across different ad lengths and platforms and is required under recognized industry standards for cross-media comparisons; it is not expected at Standard tier.</w:t>
      </w:r>
    </w:p>
    <w:p w14:paraId="01037E08" w14:textId="77777777" w:rsidR="00A2611F" w:rsidRDefault="00000000">
      <w:pPr>
        <w:spacing w:before="100" w:after="220"/>
      </w:pPr>
      <w:r>
        <w:rPr>
          <w:i/>
          <w:iCs/>
          <w:color w:val="444444"/>
          <w:sz w:val="18"/>
          <w:szCs w:val="18"/>
        </w:rPr>
        <w:lastRenderedPageBreak/>
        <w:t>Example: a six-second sponsored video that plays to completion and a thirty-second off-site video that plays for six seconds both register a comparable amount of viewable time, but an unweighted view count would treat them as equivalent “one-view” events. Duration weighting expresses each as a share of its own creative length so the two are comparable on a like-for-like basis rather than overstating the partial view of the longer asset.</w:t>
      </w:r>
    </w:p>
    <w:p w14:paraId="7E06A33D" w14:textId="77777777" w:rsidR="00A2611F" w:rsidRDefault="00000000">
      <w:pPr>
        <w:pStyle w:val="Heading2"/>
      </w:pPr>
      <w:r>
        <w:t>1.8 Attribution Window Disclosure</w:t>
      </w:r>
    </w:p>
    <w:p w14:paraId="5FB14D0D" w14:textId="77777777" w:rsidR="00A2611F" w:rsidRDefault="00000000">
      <w:pPr>
        <w:spacing w:after="160" w:line="276" w:lineRule="auto"/>
        <w:jc w:val="both"/>
      </w:pPr>
      <w:r>
        <w:t>The attribution window — the days post-exposure over which a sale is credited — must be disclosed before a campaign runs, be empirically supportable, and be applied consistently across comparable categories. The SA framework proposes a shorter default window, in the order of one, three, seven, fourteen, or thirty days, reflecting the purchase cycle of the category or vertical. Where a retailer operates multiple windows — for example a fourteen-day and a thirty-day view — each must be labelled; a single unlabelled window invites silent inconsistency between retailers.</w:t>
      </w:r>
    </w:p>
    <w:p w14:paraId="2FE5D4B3" w14:textId="77777777" w:rsidR="00A2611F" w:rsidRDefault="00000000">
      <w:pPr>
        <w:spacing w:after="160" w:line="276" w:lineRule="auto"/>
        <w:jc w:val="both"/>
      </w:pPr>
      <w:r>
        <w:t>Post-click and post-view windows. The two are defined separately and must be disclosed separately rather than blended into one unlabelled window. The post-click window measures days from an ad click to a purchase; the post-view window measures days from a viewable impression, without a click, to a purchase. Post-view windows are typically shorter than post-click windows given the weaker causal link between a passive view and a later purchase, and a retailer combining the two into a single blended ROAS must disclose that it has done so (see §2.2, ROAS — Click vs View).</w:t>
      </w:r>
    </w:p>
    <w:p w14:paraId="1F1D9CDD" w14:textId="77777777" w:rsidR="00A2611F" w:rsidRDefault="00000000">
      <w:pPr>
        <w:spacing w:after="160" w:line="276" w:lineRule="auto"/>
        <w:jc w:val="both"/>
      </w:pPr>
      <w:r>
        <w:t>Quick commerce versus regular commerce. Purchase cycles differ structurally between quick-commerce formats, where a same-day or next-day purchase is the norm, and regular commerce, where a weekly or monthly cycle is common. A single default window is not appropriate across both; retailers operating in both formats should disclose a distinct window for each, drawn from the same one/three/seven/fourteen/thirty-day set but selected to reflect the format's actual purchase cadence rather than a single house default applied uniformly.</w:t>
      </w:r>
    </w:p>
    <w:p w14:paraId="4E1788DA" w14:textId="77777777" w:rsidR="00A2611F" w:rsidRDefault="00000000">
      <w:pPr>
        <w:pStyle w:val="Heading2"/>
      </w:pPr>
      <w:r>
        <w:t>1.9 Data Access &amp; Auditability</w:t>
      </w:r>
    </w:p>
    <w:p w14:paraId="77E9E05E" w14:textId="77777777" w:rsidR="00A2611F" w:rsidRDefault="00000000">
      <w:pPr>
        <w:spacing w:after="160" w:line="276" w:lineRule="auto"/>
        <w:jc w:val="both"/>
      </w:pPr>
      <w:r>
        <w:t>The highest tier of data quality is verifiability by someone other than the retailer. Three capabilities define the Advanced frontier in this market: a data clean room or safe haven for deterministic matching and incrementality without raw PII exposure; API or raw data export for brand-side analysis and MMM integration; and availability for independent third-party audit. These are not required at the Standard-tier floor; they are the direction of travel, and the standard names them so retailers can plan toward them and buyers can ask for them.</w:t>
      </w:r>
    </w:p>
    <w:p w14:paraId="625179CC" w14:textId="77777777" w:rsidR="00A2611F" w:rsidRDefault="00000000">
      <w:pPr>
        <w:spacing w:after="160" w:line="276" w:lineRule="auto"/>
        <w:jc w:val="both"/>
      </w:pPr>
      <w:r>
        <w:t>POPIA. Any clean-room or matching architecture built to satisfy this section must document its lawful basis for processing loyalty data for measurement purposes under the Protection of Personal Information Act, and must specify how retailer-side matching is performed without exposing raw personal information to the brand or agency counterpart. This is a design requirement for the clean room itself, not a separate compliance afterthought, and should be part of what a retailer discloses when claiming Advanced-tier data access.</w:t>
      </w:r>
    </w:p>
    <w:p w14:paraId="6ABA667E" w14:textId="77777777" w:rsidR="00A2611F" w:rsidRDefault="00000000">
      <w:pPr>
        <w:pStyle w:val="Heading2"/>
      </w:pPr>
      <w:r>
        <w:t>1.10 Raw Data, Reporting Cadence &amp; Granularity</w:t>
      </w:r>
    </w:p>
    <w:p w14:paraId="0BFAD262" w14:textId="77777777" w:rsidR="00A2611F" w:rsidRDefault="00000000">
      <w:pPr>
        <w:spacing w:after="160" w:line="276" w:lineRule="auto"/>
        <w:jc w:val="both"/>
      </w:pPr>
      <w:r>
        <w:t>This subsection sets explicit raw-data and cadence requirements, rather than leaving retailers to supply whatever a brand asks for on an ad hoc basis.</w:t>
      </w:r>
    </w:p>
    <w:p w14:paraId="3065AE94" w14:textId="77777777" w:rsidR="00A2611F" w:rsidRDefault="00000000">
      <w:pPr>
        <w:spacing w:after="160" w:line="276" w:lineRule="auto"/>
        <w:jc w:val="both"/>
      </w:pPr>
      <w:r>
        <w:t>Data window relative to campaign end. Raw or near-raw data — impressions, clicks, and attributed transactions at the line-item level — should remain available for export for a period after a campaign's end date that is at least as long as the longest attribution window applied to that campaign (§1.8), so that a brand or agency can reconcile a full conversion cycle rather than a truncated one. Where a retailer's systems purge or aggregate raw data sooner than this, that shorter retention period must be disclosed before the campaign runs, not discovered afterward at export time.</w:t>
      </w:r>
    </w:p>
    <w:p w14:paraId="47E7275A" w14:textId="77777777" w:rsidR="00A2611F" w:rsidRDefault="00000000">
      <w:pPr>
        <w:spacing w:after="160" w:line="276" w:lineRule="auto"/>
        <w:jc w:val="both"/>
      </w:pPr>
      <w:r>
        <w:lastRenderedPageBreak/>
        <w:t>Cadence and frequency. Standard reporting cadence should be disclosed per metric family: delivery metrics (§2.1) are typically available daily; attributed sales and incrementality outputs (§2.2, §3.1) are typically available weekly or at campaign close, reflecting the time needed for transaction and returns data to settle. A retailer should state its actual cadence per family rather than imply real-time availability for figures that are, in practice, reconciled on a delay.</w:t>
      </w:r>
    </w:p>
    <w:p w14:paraId="09DD7B65" w14:textId="77777777" w:rsidR="00A2611F" w:rsidRDefault="00000000">
      <w:pPr>
        <w:spacing w:after="160" w:line="276" w:lineRule="auto"/>
        <w:jc w:val="both"/>
      </w:pPr>
      <w:r>
        <w:t>Granularity. Exports should be available at placement, format, and campaign level at Standard tier and above, consistent with the granularity requirements already set per metric in Section 2; this subsection consolidates the expectation rather than restating it per row.</w:t>
      </w:r>
    </w:p>
    <w:p w14:paraId="10D3810D" w14:textId="77777777" w:rsidR="00A2611F" w:rsidRDefault="00000000">
      <w:pPr>
        <w:spacing w:after="160" w:line="276" w:lineRule="auto"/>
        <w:jc w:val="both"/>
      </w:pPr>
      <w:r>
        <w:t>Continued reporting. Reporting that continues beyond a campaign's active flight — to capture attribution-window tail conversions and any post-campaign halo — is flagged here as a future capability for the standard to formalise rather than a current requirement, since most SA retailers do not yet support it. The Task Force intends to revisit this in a future revision once retailers still working toward the Standard-tier floor have closed the more immediate gaps addressed elsewhere in this section.</w:t>
      </w:r>
    </w:p>
    <w:p w14:paraId="1D0A7B69" w14:textId="77777777" w:rsidR="00A2611F" w:rsidRDefault="00000000">
      <w:r>
        <w:br w:type="page"/>
      </w:r>
    </w:p>
    <w:p w14:paraId="362D1AA6" w14:textId="77777777" w:rsidR="00A2611F" w:rsidRDefault="00000000">
      <w:pPr>
        <w:pStyle w:val="Heading1"/>
      </w:pPr>
      <w:r>
        <w:lastRenderedPageBreak/>
        <w:t>2. Digital Metrics — Consolidated Library</w:t>
      </w:r>
    </w:p>
    <w:p w14:paraId="7B643249" w14:textId="77777777" w:rsidR="00A2611F" w:rsidRDefault="00000000">
      <w:pPr>
        <w:spacing w:after="160" w:line="276" w:lineRule="auto"/>
        <w:jc w:val="both"/>
      </w:pPr>
      <w:r>
        <w:t>Every digital metric is defined once and mapped across the four environments in which it can run. A checkmark (✓) marks where a metric applies; a dash (–) marks where it does not. Where a metric takes a different form in an environment, the cell names that form — for example OTS for the in-store analogue of an impression, or POS for a sale linked through point-of-sale. The two tier columns set the reporting bar at Standard and Advanced (§1.1); a retailer may also declare Not Applicable per §1.1, except within delivery metrics in §2.1, which carry no Not Applicable option (§1.1). Notes beneath each table carry the South Africa-specific disclosures.</w:t>
      </w:r>
    </w:p>
    <w:p w14:paraId="4DEA0E82" w14:textId="77777777" w:rsidR="00A2611F" w:rsidRDefault="00000000">
      <w:pPr>
        <w:spacing w:after="160" w:line="276" w:lineRule="auto"/>
        <w:jc w:val="both"/>
      </w:pPr>
      <w:r>
        <w:t>Column key: On = On-site · Off = Off-site · DM = Direct Marketing · In = In-Store. In-store metrics are specified fully in Section 4; here the In column shows only whether and how a digital metric carries into the in-store environment.</w:t>
      </w:r>
    </w:p>
    <w:p w14:paraId="273B71F6" w14:textId="77777777" w:rsidR="00A2611F" w:rsidRDefault="00000000">
      <w:pPr>
        <w:pStyle w:val="Heading2"/>
      </w:pPr>
      <w:r>
        <w:t>2.1 Performance / Delivery</w:t>
      </w:r>
    </w:p>
    <w:p w14:paraId="2E8FB0F3" w14:textId="77777777" w:rsidR="00A2611F" w:rsidRDefault="00000000">
      <w:pPr>
        <w:spacing w:after="160" w:line="276" w:lineRule="auto"/>
        <w:jc w:val="both"/>
      </w:pPr>
      <w:r>
        <w:rPr>
          <w:b/>
          <w:bCs/>
        </w:rPr>
        <w:t xml:space="preserve">Mandatory reporting floor. </w:t>
      </w:r>
      <w:r>
        <w:t>The metrics in this section are the mandatory reporting floor for every retailer in this standard (§1.1); no Not Applicable declaration is available at the category level here, only at the level of an individual format a retailer does not run, for example Video Completion Rate where no video inventory exists. Delivery is reported at Standard tier or above; there is no lighter entry level below it.</w:t>
      </w:r>
    </w:p>
    <w:tbl>
      <w:tblPr>
        <w:tblW w:w="10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3300"/>
        <w:gridCol w:w="500"/>
        <w:gridCol w:w="500"/>
        <w:gridCol w:w="500"/>
        <w:gridCol w:w="600"/>
        <w:gridCol w:w="2200"/>
        <w:gridCol w:w="2200"/>
      </w:tblGrid>
      <w:tr w:rsidR="00A2611F" w14:paraId="3ABD5351" w14:textId="77777777">
        <w:trPr>
          <w:tblHeader/>
        </w:trPr>
        <w:tc>
          <w:tcPr>
            <w:tcW w:w="1100" w:type="dxa"/>
            <w:shd w:val="clear" w:color="auto" w:fill="D9D9D9"/>
            <w:vAlign w:val="center"/>
          </w:tcPr>
          <w:p w14:paraId="59843829" w14:textId="77777777" w:rsidR="00A2611F" w:rsidRDefault="00000000">
            <w:r>
              <w:rPr>
                <w:b/>
                <w:bCs/>
                <w:sz w:val="16"/>
                <w:szCs w:val="16"/>
              </w:rPr>
              <w:t>Metric</w:t>
            </w:r>
          </w:p>
        </w:tc>
        <w:tc>
          <w:tcPr>
            <w:tcW w:w="3300" w:type="dxa"/>
            <w:shd w:val="clear" w:color="auto" w:fill="D9D9D9"/>
            <w:vAlign w:val="center"/>
          </w:tcPr>
          <w:p w14:paraId="406B6D96" w14:textId="77777777" w:rsidR="00A2611F" w:rsidRDefault="00000000">
            <w:r>
              <w:rPr>
                <w:b/>
                <w:bCs/>
                <w:sz w:val="16"/>
                <w:szCs w:val="16"/>
              </w:rPr>
              <w:t>Definition</w:t>
            </w:r>
          </w:p>
        </w:tc>
        <w:tc>
          <w:tcPr>
            <w:tcW w:w="500" w:type="dxa"/>
            <w:shd w:val="clear" w:color="auto" w:fill="D9D9D9"/>
            <w:vAlign w:val="center"/>
          </w:tcPr>
          <w:p w14:paraId="7457F485" w14:textId="77777777" w:rsidR="00A2611F" w:rsidRDefault="00000000">
            <w:r>
              <w:rPr>
                <w:b/>
                <w:bCs/>
                <w:sz w:val="16"/>
                <w:szCs w:val="16"/>
              </w:rPr>
              <w:t>On</w:t>
            </w:r>
          </w:p>
        </w:tc>
        <w:tc>
          <w:tcPr>
            <w:tcW w:w="500" w:type="dxa"/>
            <w:shd w:val="clear" w:color="auto" w:fill="D9D9D9"/>
            <w:vAlign w:val="center"/>
          </w:tcPr>
          <w:p w14:paraId="6D4C9B22" w14:textId="77777777" w:rsidR="00A2611F" w:rsidRDefault="00000000">
            <w:r>
              <w:rPr>
                <w:b/>
                <w:bCs/>
                <w:sz w:val="16"/>
                <w:szCs w:val="16"/>
              </w:rPr>
              <w:t>Off</w:t>
            </w:r>
          </w:p>
        </w:tc>
        <w:tc>
          <w:tcPr>
            <w:tcW w:w="500" w:type="dxa"/>
            <w:shd w:val="clear" w:color="auto" w:fill="D9D9D9"/>
            <w:vAlign w:val="center"/>
          </w:tcPr>
          <w:p w14:paraId="2EE85B44" w14:textId="77777777" w:rsidR="00A2611F" w:rsidRDefault="00000000">
            <w:r>
              <w:rPr>
                <w:b/>
                <w:bCs/>
                <w:sz w:val="16"/>
                <w:szCs w:val="16"/>
              </w:rPr>
              <w:t>DM</w:t>
            </w:r>
          </w:p>
        </w:tc>
        <w:tc>
          <w:tcPr>
            <w:tcW w:w="600" w:type="dxa"/>
            <w:shd w:val="clear" w:color="auto" w:fill="D9D9D9"/>
            <w:vAlign w:val="center"/>
          </w:tcPr>
          <w:p w14:paraId="2302198B" w14:textId="77777777" w:rsidR="00A2611F" w:rsidRDefault="00000000">
            <w:r>
              <w:rPr>
                <w:b/>
                <w:bCs/>
                <w:sz w:val="16"/>
                <w:szCs w:val="16"/>
              </w:rPr>
              <w:t>In</w:t>
            </w:r>
          </w:p>
        </w:tc>
        <w:tc>
          <w:tcPr>
            <w:tcW w:w="2200" w:type="dxa"/>
            <w:shd w:val="clear" w:color="auto" w:fill="D9D9D9"/>
            <w:vAlign w:val="center"/>
          </w:tcPr>
          <w:p w14:paraId="229ABB2C" w14:textId="77777777" w:rsidR="00A2611F" w:rsidRDefault="00000000">
            <w:r>
              <w:rPr>
                <w:b/>
                <w:bCs/>
                <w:sz w:val="16"/>
                <w:szCs w:val="16"/>
              </w:rPr>
              <w:t>Standard</w:t>
            </w:r>
          </w:p>
        </w:tc>
        <w:tc>
          <w:tcPr>
            <w:tcW w:w="2200" w:type="dxa"/>
            <w:shd w:val="clear" w:color="auto" w:fill="D9D9D9"/>
            <w:vAlign w:val="center"/>
          </w:tcPr>
          <w:p w14:paraId="250B3A03" w14:textId="77777777" w:rsidR="00A2611F" w:rsidRDefault="00000000">
            <w:r>
              <w:rPr>
                <w:b/>
                <w:bCs/>
                <w:sz w:val="16"/>
                <w:szCs w:val="16"/>
              </w:rPr>
              <w:t>Advanced</w:t>
            </w:r>
          </w:p>
        </w:tc>
      </w:tr>
      <w:tr w:rsidR="00A2611F" w14:paraId="1244DE00" w14:textId="77777777">
        <w:tc>
          <w:tcPr>
            <w:tcW w:w="1100" w:type="dxa"/>
          </w:tcPr>
          <w:p w14:paraId="0C32162F" w14:textId="77777777" w:rsidR="00A2611F" w:rsidRDefault="00000000">
            <w:pPr>
              <w:spacing w:after="40"/>
            </w:pPr>
            <w:r>
              <w:rPr>
                <w:sz w:val="16"/>
                <w:szCs w:val="16"/>
              </w:rPr>
              <w:t>Ad Impression</w:t>
            </w:r>
          </w:p>
        </w:tc>
        <w:tc>
          <w:tcPr>
            <w:tcW w:w="3300" w:type="dxa"/>
          </w:tcPr>
          <w:p w14:paraId="7889AEAF" w14:textId="77777777" w:rsidR="00A2611F" w:rsidRDefault="00000000">
            <w:pPr>
              <w:spacing w:after="40"/>
            </w:pPr>
            <w:r>
              <w:rPr>
                <w:sz w:val="16"/>
                <w:szCs w:val="16"/>
              </w:rPr>
              <w:t>Ad delivered to a device and begun to render; confirms delivery, not viewability. For sponsored-product placements inside an organic-style grid, the impression is counted on render of the sponsored slot itself, and this counting basis must be disclosed.</w:t>
            </w:r>
          </w:p>
        </w:tc>
        <w:tc>
          <w:tcPr>
            <w:tcW w:w="500" w:type="dxa"/>
          </w:tcPr>
          <w:p w14:paraId="54FF76D2" w14:textId="77777777" w:rsidR="00A2611F" w:rsidRDefault="00000000">
            <w:pPr>
              <w:spacing w:after="40"/>
            </w:pPr>
            <w:r>
              <w:rPr>
                <w:sz w:val="16"/>
                <w:szCs w:val="16"/>
              </w:rPr>
              <w:t>✓</w:t>
            </w:r>
          </w:p>
        </w:tc>
        <w:tc>
          <w:tcPr>
            <w:tcW w:w="500" w:type="dxa"/>
          </w:tcPr>
          <w:p w14:paraId="677E2AE2" w14:textId="77777777" w:rsidR="00A2611F" w:rsidRDefault="00000000">
            <w:pPr>
              <w:spacing w:after="40"/>
            </w:pPr>
            <w:r>
              <w:rPr>
                <w:sz w:val="16"/>
                <w:szCs w:val="16"/>
              </w:rPr>
              <w:t>✓</w:t>
            </w:r>
          </w:p>
        </w:tc>
        <w:tc>
          <w:tcPr>
            <w:tcW w:w="500" w:type="dxa"/>
          </w:tcPr>
          <w:p w14:paraId="6E3FFCB6" w14:textId="77777777" w:rsidR="00A2611F" w:rsidRDefault="00000000">
            <w:pPr>
              <w:spacing w:after="40"/>
            </w:pPr>
            <w:r>
              <w:rPr>
                <w:sz w:val="16"/>
                <w:szCs w:val="16"/>
              </w:rPr>
              <w:t>–</w:t>
            </w:r>
          </w:p>
        </w:tc>
        <w:tc>
          <w:tcPr>
            <w:tcW w:w="600" w:type="dxa"/>
          </w:tcPr>
          <w:p w14:paraId="27CEBF70" w14:textId="77777777" w:rsidR="00A2611F" w:rsidRDefault="00000000">
            <w:pPr>
              <w:spacing w:after="40"/>
            </w:pPr>
            <w:r>
              <w:rPr>
                <w:sz w:val="16"/>
                <w:szCs w:val="16"/>
              </w:rPr>
              <w:t>OTS</w:t>
            </w:r>
          </w:p>
        </w:tc>
        <w:tc>
          <w:tcPr>
            <w:tcW w:w="2200" w:type="dxa"/>
          </w:tcPr>
          <w:p w14:paraId="41930620" w14:textId="77777777" w:rsidR="00A2611F" w:rsidRDefault="00000000">
            <w:pPr>
              <w:spacing w:after="40"/>
            </w:pPr>
            <w:r>
              <w:rPr>
                <w:sz w:val="16"/>
                <w:szCs w:val="16"/>
              </w:rPr>
              <w:t>Client-side begin-to-render count, GIVT filtered against a recognized bot list (§1.6), reported by placement and format at campaign level, with the sponsored-product counting basis disclosed.</w:t>
            </w:r>
          </w:p>
        </w:tc>
        <w:tc>
          <w:tcPr>
            <w:tcW w:w="2200" w:type="dxa"/>
          </w:tcPr>
          <w:p w14:paraId="405EDCAE" w14:textId="77777777" w:rsidR="00A2611F" w:rsidRDefault="00000000">
            <w:pPr>
              <w:spacing w:after="40"/>
            </w:pPr>
            <w:r>
              <w:rPr>
                <w:sz w:val="16"/>
                <w:szCs w:val="16"/>
              </w:rPr>
              <w:t>SIVT filtered; reconciled to ad server.</w:t>
            </w:r>
          </w:p>
        </w:tc>
      </w:tr>
      <w:tr w:rsidR="00A2611F" w14:paraId="36AA7F8E" w14:textId="77777777">
        <w:tc>
          <w:tcPr>
            <w:tcW w:w="1100" w:type="dxa"/>
          </w:tcPr>
          <w:p w14:paraId="770550DB" w14:textId="77777777" w:rsidR="00A2611F" w:rsidRDefault="00000000">
            <w:pPr>
              <w:spacing w:after="40"/>
            </w:pPr>
            <w:r>
              <w:rPr>
                <w:sz w:val="16"/>
                <w:szCs w:val="16"/>
              </w:rPr>
              <w:t>Viewable Impression</w:t>
            </w:r>
          </w:p>
        </w:tc>
        <w:tc>
          <w:tcPr>
            <w:tcW w:w="3300" w:type="dxa"/>
          </w:tcPr>
          <w:p w14:paraId="21FBDDDE" w14:textId="77777777" w:rsidR="00A2611F" w:rsidRDefault="00000000">
            <w:pPr>
              <w:spacing w:after="40"/>
            </w:pPr>
            <w:r>
              <w:rPr>
                <w:sz w:val="16"/>
                <w:szCs w:val="16"/>
              </w:rPr>
              <w:t>Display ≥50% pixels ≥1s; video ≥50% ≥2s. The measuring party must be disclosed.</w:t>
            </w:r>
          </w:p>
        </w:tc>
        <w:tc>
          <w:tcPr>
            <w:tcW w:w="500" w:type="dxa"/>
          </w:tcPr>
          <w:p w14:paraId="567B4E4F" w14:textId="77777777" w:rsidR="00A2611F" w:rsidRDefault="00000000">
            <w:pPr>
              <w:spacing w:after="40"/>
            </w:pPr>
            <w:r>
              <w:rPr>
                <w:sz w:val="16"/>
                <w:szCs w:val="16"/>
              </w:rPr>
              <w:t>✓</w:t>
            </w:r>
          </w:p>
        </w:tc>
        <w:tc>
          <w:tcPr>
            <w:tcW w:w="500" w:type="dxa"/>
          </w:tcPr>
          <w:p w14:paraId="53782389" w14:textId="77777777" w:rsidR="00A2611F" w:rsidRDefault="00000000">
            <w:pPr>
              <w:spacing w:after="40"/>
            </w:pPr>
            <w:r>
              <w:rPr>
                <w:sz w:val="16"/>
                <w:szCs w:val="16"/>
              </w:rPr>
              <w:t>✓</w:t>
            </w:r>
          </w:p>
        </w:tc>
        <w:tc>
          <w:tcPr>
            <w:tcW w:w="500" w:type="dxa"/>
          </w:tcPr>
          <w:p w14:paraId="42F81BC1" w14:textId="77777777" w:rsidR="00A2611F" w:rsidRDefault="00000000">
            <w:pPr>
              <w:spacing w:after="40"/>
            </w:pPr>
            <w:r>
              <w:rPr>
                <w:sz w:val="16"/>
                <w:szCs w:val="16"/>
              </w:rPr>
              <w:t>–</w:t>
            </w:r>
          </w:p>
        </w:tc>
        <w:tc>
          <w:tcPr>
            <w:tcW w:w="600" w:type="dxa"/>
          </w:tcPr>
          <w:p w14:paraId="434DA4EA" w14:textId="77777777" w:rsidR="00A2611F" w:rsidRDefault="00000000">
            <w:pPr>
              <w:spacing w:after="40"/>
            </w:pPr>
            <w:r>
              <w:rPr>
                <w:sz w:val="16"/>
                <w:szCs w:val="16"/>
              </w:rPr>
              <w:t>OTS</w:t>
            </w:r>
          </w:p>
        </w:tc>
        <w:tc>
          <w:tcPr>
            <w:tcW w:w="2200" w:type="dxa"/>
          </w:tcPr>
          <w:p w14:paraId="14BC6AC5" w14:textId="77777777" w:rsidR="00A2611F" w:rsidRDefault="00000000">
            <w:pPr>
              <w:spacing w:after="40"/>
            </w:pPr>
            <w:r>
              <w:rPr>
                <w:sz w:val="16"/>
                <w:szCs w:val="16"/>
              </w:rPr>
              <w:t>Viewability rate and measurability rate reported, with non-viewable impressions shown separately and the measuring party disclosed.</w:t>
            </w:r>
          </w:p>
        </w:tc>
        <w:tc>
          <w:tcPr>
            <w:tcW w:w="2200" w:type="dxa"/>
          </w:tcPr>
          <w:p w14:paraId="1B58BF2A" w14:textId="77777777" w:rsidR="00A2611F" w:rsidRDefault="00000000">
            <w:pPr>
              <w:spacing w:after="40"/>
            </w:pPr>
            <w:r>
              <w:rPr>
                <w:sz w:val="16"/>
                <w:szCs w:val="16"/>
              </w:rPr>
              <w:t>+ SIVT filtered; duration weighting for cross-media comparison (§1.7).</w:t>
            </w:r>
          </w:p>
        </w:tc>
      </w:tr>
      <w:tr w:rsidR="00A2611F" w14:paraId="19A7C0F0" w14:textId="77777777">
        <w:tc>
          <w:tcPr>
            <w:tcW w:w="1100" w:type="dxa"/>
          </w:tcPr>
          <w:p w14:paraId="45EC477F" w14:textId="77777777" w:rsidR="00A2611F" w:rsidRDefault="00000000">
            <w:pPr>
              <w:spacing w:after="40"/>
            </w:pPr>
            <w:r>
              <w:rPr>
                <w:sz w:val="16"/>
                <w:szCs w:val="16"/>
              </w:rPr>
              <w:t>Click / CTR</w:t>
            </w:r>
          </w:p>
        </w:tc>
        <w:tc>
          <w:tcPr>
            <w:tcW w:w="3300" w:type="dxa"/>
          </w:tcPr>
          <w:p w14:paraId="147FB5F8" w14:textId="77777777" w:rsidR="00A2611F" w:rsidRDefault="00000000">
            <w:pPr>
              <w:spacing w:after="40"/>
            </w:pPr>
            <w:r>
              <w:rPr>
                <w:sz w:val="16"/>
                <w:szCs w:val="16"/>
              </w:rPr>
              <w:t>User-initiated action on an ad. CTR = clicks ÷ impressions, calculated against a disclosed impression basis (ad impression by default, unless a viewable-impression basis is stated).</w:t>
            </w:r>
          </w:p>
        </w:tc>
        <w:tc>
          <w:tcPr>
            <w:tcW w:w="500" w:type="dxa"/>
          </w:tcPr>
          <w:p w14:paraId="0274B4FA" w14:textId="77777777" w:rsidR="00A2611F" w:rsidRDefault="00000000">
            <w:pPr>
              <w:spacing w:after="40"/>
            </w:pPr>
            <w:r>
              <w:rPr>
                <w:sz w:val="16"/>
                <w:szCs w:val="16"/>
              </w:rPr>
              <w:t>✓</w:t>
            </w:r>
          </w:p>
        </w:tc>
        <w:tc>
          <w:tcPr>
            <w:tcW w:w="500" w:type="dxa"/>
          </w:tcPr>
          <w:p w14:paraId="524F920B" w14:textId="77777777" w:rsidR="00A2611F" w:rsidRDefault="00000000">
            <w:pPr>
              <w:spacing w:after="40"/>
            </w:pPr>
            <w:r>
              <w:rPr>
                <w:sz w:val="16"/>
                <w:szCs w:val="16"/>
              </w:rPr>
              <w:t>✓</w:t>
            </w:r>
          </w:p>
        </w:tc>
        <w:tc>
          <w:tcPr>
            <w:tcW w:w="500" w:type="dxa"/>
          </w:tcPr>
          <w:p w14:paraId="51A284D1" w14:textId="77777777" w:rsidR="00A2611F" w:rsidRDefault="00000000">
            <w:pPr>
              <w:spacing w:after="40"/>
            </w:pPr>
            <w:r>
              <w:rPr>
                <w:sz w:val="16"/>
                <w:szCs w:val="16"/>
              </w:rPr>
              <w:t>✓</w:t>
            </w:r>
          </w:p>
        </w:tc>
        <w:tc>
          <w:tcPr>
            <w:tcW w:w="600" w:type="dxa"/>
          </w:tcPr>
          <w:p w14:paraId="62CE2814" w14:textId="77777777" w:rsidR="00A2611F" w:rsidRDefault="00000000">
            <w:pPr>
              <w:spacing w:after="40"/>
            </w:pPr>
            <w:r>
              <w:rPr>
                <w:sz w:val="16"/>
                <w:szCs w:val="16"/>
              </w:rPr>
              <w:t>–</w:t>
            </w:r>
          </w:p>
        </w:tc>
        <w:tc>
          <w:tcPr>
            <w:tcW w:w="2200" w:type="dxa"/>
          </w:tcPr>
          <w:p w14:paraId="19E48586" w14:textId="77777777" w:rsidR="00A2611F" w:rsidRDefault="00000000">
            <w:pPr>
              <w:spacing w:after="40"/>
            </w:pPr>
            <w:r>
              <w:rPr>
                <w:sz w:val="16"/>
                <w:szCs w:val="16"/>
              </w:rPr>
              <w:t>Click count and CTR reported by placement, with invalid clicks filtered, the denominator disclosed, and keyword/search-term granularity where placement is search-driven.</w:t>
            </w:r>
          </w:p>
        </w:tc>
        <w:tc>
          <w:tcPr>
            <w:tcW w:w="2200" w:type="dxa"/>
          </w:tcPr>
          <w:p w14:paraId="6EE31BA0" w14:textId="77777777" w:rsidR="00A2611F" w:rsidRDefault="00000000">
            <w:pPr>
              <w:spacing w:after="40"/>
            </w:pPr>
            <w:r>
              <w:rPr>
                <w:sz w:val="16"/>
                <w:szCs w:val="16"/>
              </w:rPr>
              <w:t>Deduplicated across environments.</w:t>
            </w:r>
          </w:p>
        </w:tc>
      </w:tr>
      <w:tr w:rsidR="00A2611F" w14:paraId="5ECB3626" w14:textId="77777777">
        <w:tc>
          <w:tcPr>
            <w:tcW w:w="1100" w:type="dxa"/>
          </w:tcPr>
          <w:p w14:paraId="53A17BBF" w14:textId="77777777" w:rsidR="00A2611F" w:rsidRDefault="00000000">
            <w:pPr>
              <w:spacing w:after="40"/>
            </w:pPr>
            <w:r>
              <w:rPr>
                <w:sz w:val="16"/>
                <w:szCs w:val="16"/>
              </w:rPr>
              <w:t>Video Completion Rate</w:t>
            </w:r>
          </w:p>
        </w:tc>
        <w:tc>
          <w:tcPr>
            <w:tcW w:w="3300" w:type="dxa"/>
          </w:tcPr>
          <w:p w14:paraId="75152FF1" w14:textId="77777777" w:rsidR="00A2611F" w:rsidRDefault="00000000">
            <w:pPr>
              <w:spacing w:after="40"/>
            </w:pPr>
            <w:r>
              <w:rPr>
                <w:sz w:val="16"/>
                <w:szCs w:val="16"/>
              </w:rPr>
              <w:t>Videos completed ÷ videos launched.</w:t>
            </w:r>
          </w:p>
        </w:tc>
        <w:tc>
          <w:tcPr>
            <w:tcW w:w="500" w:type="dxa"/>
          </w:tcPr>
          <w:p w14:paraId="48DD1D6C" w14:textId="77777777" w:rsidR="00A2611F" w:rsidRDefault="00000000">
            <w:pPr>
              <w:spacing w:after="40"/>
            </w:pPr>
            <w:r>
              <w:rPr>
                <w:sz w:val="16"/>
                <w:szCs w:val="16"/>
              </w:rPr>
              <w:t>✓</w:t>
            </w:r>
          </w:p>
        </w:tc>
        <w:tc>
          <w:tcPr>
            <w:tcW w:w="500" w:type="dxa"/>
          </w:tcPr>
          <w:p w14:paraId="65BE8F39" w14:textId="77777777" w:rsidR="00A2611F" w:rsidRDefault="00000000">
            <w:pPr>
              <w:spacing w:after="40"/>
            </w:pPr>
            <w:r>
              <w:rPr>
                <w:sz w:val="16"/>
                <w:szCs w:val="16"/>
              </w:rPr>
              <w:t>✓</w:t>
            </w:r>
          </w:p>
        </w:tc>
        <w:tc>
          <w:tcPr>
            <w:tcW w:w="500" w:type="dxa"/>
          </w:tcPr>
          <w:p w14:paraId="5A89797D" w14:textId="77777777" w:rsidR="00A2611F" w:rsidRDefault="00000000">
            <w:pPr>
              <w:spacing w:after="40"/>
            </w:pPr>
            <w:r>
              <w:rPr>
                <w:sz w:val="16"/>
                <w:szCs w:val="16"/>
              </w:rPr>
              <w:t>–</w:t>
            </w:r>
          </w:p>
        </w:tc>
        <w:tc>
          <w:tcPr>
            <w:tcW w:w="600" w:type="dxa"/>
          </w:tcPr>
          <w:p w14:paraId="67068CF2" w14:textId="77777777" w:rsidR="00A2611F" w:rsidRDefault="00000000">
            <w:pPr>
              <w:spacing w:after="40"/>
            </w:pPr>
            <w:r>
              <w:rPr>
                <w:sz w:val="16"/>
                <w:szCs w:val="16"/>
              </w:rPr>
              <w:t>–</w:t>
            </w:r>
          </w:p>
        </w:tc>
        <w:tc>
          <w:tcPr>
            <w:tcW w:w="2200" w:type="dxa"/>
          </w:tcPr>
          <w:p w14:paraId="015A0645" w14:textId="77777777" w:rsidR="00A2611F" w:rsidRDefault="00000000">
            <w:pPr>
              <w:spacing w:after="40"/>
            </w:pPr>
            <w:r>
              <w:rPr>
                <w:sz w:val="16"/>
                <w:szCs w:val="16"/>
              </w:rPr>
              <w:t>VCR reported by placement and creative, where video runs.</w:t>
            </w:r>
          </w:p>
        </w:tc>
        <w:tc>
          <w:tcPr>
            <w:tcW w:w="2200" w:type="dxa"/>
          </w:tcPr>
          <w:p w14:paraId="75AF3D2F" w14:textId="77777777" w:rsidR="00A2611F" w:rsidRDefault="00000000">
            <w:pPr>
              <w:spacing w:after="40"/>
            </w:pPr>
            <w:r>
              <w:rPr>
                <w:sz w:val="16"/>
                <w:szCs w:val="16"/>
              </w:rPr>
              <w:t>Quartile reporting; SIVT filtered.</w:t>
            </w:r>
          </w:p>
        </w:tc>
      </w:tr>
      <w:tr w:rsidR="00A2611F" w14:paraId="40B3E4E4" w14:textId="77777777">
        <w:tc>
          <w:tcPr>
            <w:tcW w:w="1100" w:type="dxa"/>
          </w:tcPr>
          <w:p w14:paraId="34E941C6" w14:textId="77777777" w:rsidR="00A2611F" w:rsidRDefault="00000000">
            <w:pPr>
              <w:spacing w:after="40"/>
            </w:pPr>
            <w:r>
              <w:rPr>
                <w:sz w:val="16"/>
                <w:szCs w:val="16"/>
              </w:rPr>
              <w:t>Spend / CPM / CPC</w:t>
            </w:r>
          </w:p>
        </w:tc>
        <w:tc>
          <w:tcPr>
            <w:tcW w:w="3300" w:type="dxa"/>
          </w:tcPr>
          <w:p w14:paraId="738D06F8" w14:textId="77777777" w:rsidR="00A2611F" w:rsidRDefault="00000000">
            <w:pPr>
              <w:spacing w:after="40"/>
            </w:pPr>
            <w:r>
              <w:rPr>
                <w:sz w:val="16"/>
                <w:szCs w:val="16"/>
              </w:rPr>
              <w:t>Media cost; cost per 1,000 impressions; cost per click.</w:t>
            </w:r>
          </w:p>
        </w:tc>
        <w:tc>
          <w:tcPr>
            <w:tcW w:w="500" w:type="dxa"/>
          </w:tcPr>
          <w:p w14:paraId="04514139" w14:textId="77777777" w:rsidR="00A2611F" w:rsidRDefault="00000000">
            <w:pPr>
              <w:spacing w:after="40"/>
            </w:pPr>
            <w:r>
              <w:rPr>
                <w:sz w:val="16"/>
                <w:szCs w:val="16"/>
              </w:rPr>
              <w:t>✓</w:t>
            </w:r>
          </w:p>
        </w:tc>
        <w:tc>
          <w:tcPr>
            <w:tcW w:w="500" w:type="dxa"/>
          </w:tcPr>
          <w:p w14:paraId="3C3FD530" w14:textId="77777777" w:rsidR="00A2611F" w:rsidRDefault="00000000">
            <w:pPr>
              <w:spacing w:after="40"/>
            </w:pPr>
            <w:r>
              <w:rPr>
                <w:sz w:val="16"/>
                <w:szCs w:val="16"/>
              </w:rPr>
              <w:t>✓</w:t>
            </w:r>
          </w:p>
        </w:tc>
        <w:tc>
          <w:tcPr>
            <w:tcW w:w="500" w:type="dxa"/>
          </w:tcPr>
          <w:p w14:paraId="77E27617" w14:textId="77777777" w:rsidR="00A2611F" w:rsidRDefault="00000000">
            <w:pPr>
              <w:spacing w:after="40"/>
            </w:pPr>
            <w:r>
              <w:rPr>
                <w:sz w:val="16"/>
                <w:szCs w:val="16"/>
              </w:rPr>
              <w:t>✓</w:t>
            </w:r>
          </w:p>
        </w:tc>
        <w:tc>
          <w:tcPr>
            <w:tcW w:w="600" w:type="dxa"/>
          </w:tcPr>
          <w:p w14:paraId="45D94086" w14:textId="77777777" w:rsidR="00A2611F" w:rsidRDefault="00000000">
            <w:pPr>
              <w:spacing w:after="40"/>
            </w:pPr>
            <w:r>
              <w:rPr>
                <w:sz w:val="16"/>
                <w:szCs w:val="16"/>
              </w:rPr>
              <w:t>✓</w:t>
            </w:r>
          </w:p>
        </w:tc>
        <w:tc>
          <w:tcPr>
            <w:tcW w:w="2200" w:type="dxa"/>
          </w:tcPr>
          <w:p w14:paraId="3A8D2B5F" w14:textId="77777777" w:rsidR="00A2611F" w:rsidRDefault="00000000">
            <w:pPr>
              <w:spacing w:after="40"/>
            </w:pPr>
            <w:r>
              <w:rPr>
                <w:sz w:val="16"/>
                <w:szCs w:val="16"/>
              </w:rPr>
              <w:t>Total spend and derived CPM/CPC reported by placement and line item.</w:t>
            </w:r>
          </w:p>
        </w:tc>
        <w:tc>
          <w:tcPr>
            <w:tcW w:w="2200" w:type="dxa"/>
          </w:tcPr>
          <w:p w14:paraId="54C5BB6B" w14:textId="77777777" w:rsidR="00A2611F" w:rsidRDefault="00000000">
            <w:pPr>
              <w:spacing w:after="40"/>
            </w:pPr>
            <w:r>
              <w:rPr>
                <w:sz w:val="16"/>
                <w:szCs w:val="16"/>
              </w:rPr>
              <w:t>Reconciled to billed delivery.</w:t>
            </w:r>
          </w:p>
        </w:tc>
      </w:tr>
      <w:tr w:rsidR="00A2611F" w14:paraId="25D4AE24" w14:textId="77777777">
        <w:tc>
          <w:tcPr>
            <w:tcW w:w="1100" w:type="dxa"/>
          </w:tcPr>
          <w:p w14:paraId="5060E3AE" w14:textId="77777777" w:rsidR="00A2611F" w:rsidRDefault="00000000">
            <w:pPr>
              <w:spacing w:after="40"/>
            </w:pPr>
            <w:r>
              <w:rPr>
                <w:sz w:val="16"/>
                <w:szCs w:val="16"/>
              </w:rPr>
              <w:t>Share of Voice</w:t>
            </w:r>
          </w:p>
        </w:tc>
        <w:tc>
          <w:tcPr>
            <w:tcW w:w="3300" w:type="dxa"/>
          </w:tcPr>
          <w:p w14:paraId="300B76C9" w14:textId="77777777" w:rsidR="00A2611F" w:rsidRDefault="00000000">
            <w:pPr>
              <w:spacing w:after="40"/>
            </w:pPr>
            <w:r>
              <w:rPr>
                <w:sz w:val="16"/>
                <w:szCs w:val="16"/>
              </w:rPr>
              <w:t>Brand impressions (or clicks) ÷ total category impressions (or clicks).</w:t>
            </w:r>
          </w:p>
        </w:tc>
        <w:tc>
          <w:tcPr>
            <w:tcW w:w="500" w:type="dxa"/>
          </w:tcPr>
          <w:p w14:paraId="42D8B810" w14:textId="77777777" w:rsidR="00A2611F" w:rsidRDefault="00000000">
            <w:pPr>
              <w:spacing w:after="40"/>
            </w:pPr>
            <w:r>
              <w:rPr>
                <w:sz w:val="16"/>
                <w:szCs w:val="16"/>
              </w:rPr>
              <w:t>✓</w:t>
            </w:r>
          </w:p>
        </w:tc>
        <w:tc>
          <w:tcPr>
            <w:tcW w:w="500" w:type="dxa"/>
          </w:tcPr>
          <w:p w14:paraId="0F1A1CC0" w14:textId="77777777" w:rsidR="00A2611F" w:rsidRDefault="00000000">
            <w:pPr>
              <w:spacing w:after="40"/>
            </w:pPr>
            <w:r>
              <w:rPr>
                <w:sz w:val="16"/>
                <w:szCs w:val="16"/>
              </w:rPr>
              <w:t>–</w:t>
            </w:r>
          </w:p>
        </w:tc>
        <w:tc>
          <w:tcPr>
            <w:tcW w:w="500" w:type="dxa"/>
          </w:tcPr>
          <w:p w14:paraId="77CDAA8B" w14:textId="77777777" w:rsidR="00A2611F" w:rsidRDefault="00000000">
            <w:pPr>
              <w:spacing w:after="40"/>
            </w:pPr>
            <w:r>
              <w:rPr>
                <w:sz w:val="16"/>
                <w:szCs w:val="16"/>
              </w:rPr>
              <w:t>–</w:t>
            </w:r>
          </w:p>
        </w:tc>
        <w:tc>
          <w:tcPr>
            <w:tcW w:w="600" w:type="dxa"/>
          </w:tcPr>
          <w:p w14:paraId="28148A90" w14:textId="77777777" w:rsidR="00A2611F" w:rsidRDefault="00000000">
            <w:pPr>
              <w:spacing w:after="40"/>
            </w:pPr>
            <w:r>
              <w:rPr>
                <w:sz w:val="16"/>
                <w:szCs w:val="16"/>
              </w:rPr>
              <w:t>–</w:t>
            </w:r>
          </w:p>
        </w:tc>
        <w:tc>
          <w:tcPr>
            <w:tcW w:w="2200" w:type="dxa"/>
          </w:tcPr>
          <w:p w14:paraId="371477BA" w14:textId="77777777" w:rsidR="00A2611F" w:rsidRDefault="00000000">
            <w:pPr>
              <w:spacing w:after="40"/>
            </w:pPr>
            <w:r>
              <w:rPr>
                <w:sz w:val="16"/>
                <w:szCs w:val="16"/>
              </w:rPr>
              <w:t>SOV by category where inventory is structured.</w:t>
            </w:r>
          </w:p>
        </w:tc>
        <w:tc>
          <w:tcPr>
            <w:tcW w:w="2200" w:type="dxa"/>
          </w:tcPr>
          <w:p w14:paraId="2741E400" w14:textId="77777777" w:rsidR="00A2611F" w:rsidRDefault="00000000">
            <w:pPr>
              <w:spacing w:after="40"/>
            </w:pPr>
            <w:r>
              <w:rPr>
                <w:sz w:val="16"/>
                <w:szCs w:val="16"/>
              </w:rPr>
              <w:t>Impression- and click-based SOV, disclosed basis.</w:t>
            </w:r>
          </w:p>
        </w:tc>
      </w:tr>
      <w:tr w:rsidR="00A2611F" w14:paraId="347C20EB" w14:textId="77777777">
        <w:tc>
          <w:tcPr>
            <w:tcW w:w="1100" w:type="dxa"/>
          </w:tcPr>
          <w:p w14:paraId="6B296242" w14:textId="77777777" w:rsidR="00A2611F" w:rsidRDefault="00000000">
            <w:pPr>
              <w:spacing w:after="40"/>
            </w:pPr>
            <w:r>
              <w:rPr>
                <w:sz w:val="16"/>
                <w:szCs w:val="16"/>
              </w:rPr>
              <w:t>Reach &amp; Frequency</w:t>
            </w:r>
          </w:p>
        </w:tc>
        <w:tc>
          <w:tcPr>
            <w:tcW w:w="3300" w:type="dxa"/>
          </w:tcPr>
          <w:p w14:paraId="2DAB6D3F" w14:textId="77777777" w:rsidR="00A2611F" w:rsidRDefault="00000000">
            <w:pPr>
              <w:spacing w:after="40"/>
            </w:pPr>
            <w:r>
              <w:rPr>
                <w:sz w:val="16"/>
                <w:szCs w:val="16"/>
              </w:rPr>
              <w:t>Unique users exposed; average exposures per user.</w:t>
            </w:r>
          </w:p>
        </w:tc>
        <w:tc>
          <w:tcPr>
            <w:tcW w:w="500" w:type="dxa"/>
          </w:tcPr>
          <w:p w14:paraId="248AD9B0" w14:textId="77777777" w:rsidR="00A2611F" w:rsidRDefault="00000000">
            <w:pPr>
              <w:spacing w:after="40"/>
            </w:pPr>
            <w:r>
              <w:rPr>
                <w:sz w:val="16"/>
                <w:szCs w:val="16"/>
              </w:rPr>
              <w:t>✓</w:t>
            </w:r>
          </w:p>
        </w:tc>
        <w:tc>
          <w:tcPr>
            <w:tcW w:w="500" w:type="dxa"/>
          </w:tcPr>
          <w:p w14:paraId="7DCDF992" w14:textId="77777777" w:rsidR="00A2611F" w:rsidRDefault="00000000">
            <w:pPr>
              <w:spacing w:after="40"/>
            </w:pPr>
            <w:r>
              <w:rPr>
                <w:sz w:val="16"/>
                <w:szCs w:val="16"/>
              </w:rPr>
              <w:t>✓</w:t>
            </w:r>
          </w:p>
        </w:tc>
        <w:tc>
          <w:tcPr>
            <w:tcW w:w="500" w:type="dxa"/>
          </w:tcPr>
          <w:p w14:paraId="61EC3E90" w14:textId="77777777" w:rsidR="00A2611F" w:rsidRDefault="00000000">
            <w:pPr>
              <w:spacing w:after="40"/>
            </w:pPr>
            <w:r>
              <w:rPr>
                <w:sz w:val="16"/>
                <w:szCs w:val="16"/>
              </w:rPr>
              <w:t>✓</w:t>
            </w:r>
          </w:p>
        </w:tc>
        <w:tc>
          <w:tcPr>
            <w:tcW w:w="600" w:type="dxa"/>
          </w:tcPr>
          <w:p w14:paraId="3F290323" w14:textId="77777777" w:rsidR="00A2611F" w:rsidRDefault="00000000">
            <w:pPr>
              <w:spacing w:after="40"/>
            </w:pPr>
            <w:r>
              <w:rPr>
                <w:sz w:val="16"/>
                <w:szCs w:val="16"/>
              </w:rPr>
              <w:t>OTS</w:t>
            </w:r>
          </w:p>
        </w:tc>
        <w:tc>
          <w:tcPr>
            <w:tcW w:w="2200" w:type="dxa"/>
          </w:tcPr>
          <w:p w14:paraId="236A33FA" w14:textId="77777777" w:rsidR="00A2611F" w:rsidRDefault="00000000">
            <w:pPr>
              <w:spacing w:after="40"/>
            </w:pPr>
            <w:r>
              <w:rPr>
                <w:sz w:val="16"/>
                <w:szCs w:val="16"/>
              </w:rPr>
              <w:t>Reach and frequency reported at campaign level, deduplicated within environment.</w:t>
            </w:r>
          </w:p>
        </w:tc>
        <w:tc>
          <w:tcPr>
            <w:tcW w:w="2200" w:type="dxa"/>
          </w:tcPr>
          <w:p w14:paraId="3C58C4A1" w14:textId="77777777" w:rsidR="00A2611F" w:rsidRDefault="00000000">
            <w:pPr>
              <w:spacing w:after="40"/>
            </w:pPr>
            <w:r>
              <w:rPr>
                <w:sz w:val="16"/>
                <w:szCs w:val="16"/>
              </w:rPr>
              <w:t>Cross-environment deduplicated reach.</w:t>
            </w:r>
          </w:p>
        </w:tc>
      </w:tr>
    </w:tbl>
    <w:p w14:paraId="19079557" w14:textId="77777777" w:rsidR="00A2611F" w:rsidRDefault="00000000">
      <w:pPr>
        <w:spacing w:before="100" w:after="220"/>
      </w:pPr>
      <w:r>
        <w:rPr>
          <w:i/>
          <w:iCs/>
          <w:color w:val="444444"/>
          <w:sz w:val="18"/>
          <w:szCs w:val="18"/>
        </w:rPr>
        <w:t>The CTR denominator, sponsored-product basis, and measuring party must all be disclosed (§2.1). Off-site viewability is frequently measured by the off-site partner rather than the retailer; the measuring party must be disclosed. In-store impressions are reported as Opportunity to See (OTS), specified in Section 4.</w:t>
      </w:r>
    </w:p>
    <w:p w14:paraId="52F8E666" w14:textId="77777777" w:rsidR="00A2611F" w:rsidRDefault="00000000">
      <w:r>
        <w:br w:type="page"/>
      </w:r>
    </w:p>
    <w:p w14:paraId="31ABAEF2" w14:textId="77777777" w:rsidR="00A2611F" w:rsidRDefault="00000000">
      <w:pPr>
        <w:pStyle w:val="Heading2"/>
      </w:pPr>
      <w:r>
        <w:lastRenderedPageBreak/>
        <w:t>2.2 Conversion / ROAS &amp; Sales</w:t>
      </w:r>
    </w:p>
    <w:p w14:paraId="2263563A" w14:textId="77777777" w:rsidR="00A2611F" w:rsidRDefault="00000000">
      <w:pPr>
        <w:spacing w:after="160" w:line="276" w:lineRule="auto"/>
        <w:jc w:val="both"/>
      </w:pPr>
      <w:r>
        <w:t>This section separates Same-SKU ROAS, Halo ROAS, and Total Attributed ROAS, so that a blended figure is never the only number a buyer can see.</w:t>
      </w:r>
    </w:p>
    <w:tbl>
      <w:tblPr>
        <w:tblW w:w="10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3300"/>
        <w:gridCol w:w="500"/>
        <w:gridCol w:w="500"/>
        <w:gridCol w:w="500"/>
        <w:gridCol w:w="600"/>
        <w:gridCol w:w="2200"/>
        <w:gridCol w:w="2200"/>
      </w:tblGrid>
      <w:tr w:rsidR="00A2611F" w14:paraId="78057DCD" w14:textId="77777777">
        <w:trPr>
          <w:tblHeader/>
        </w:trPr>
        <w:tc>
          <w:tcPr>
            <w:tcW w:w="1100" w:type="dxa"/>
            <w:shd w:val="clear" w:color="auto" w:fill="D9D9D9"/>
            <w:vAlign w:val="center"/>
          </w:tcPr>
          <w:p w14:paraId="57EFC084" w14:textId="77777777" w:rsidR="00A2611F" w:rsidRDefault="00000000">
            <w:r>
              <w:rPr>
                <w:b/>
                <w:bCs/>
                <w:sz w:val="16"/>
                <w:szCs w:val="16"/>
              </w:rPr>
              <w:t>Metric</w:t>
            </w:r>
          </w:p>
        </w:tc>
        <w:tc>
          <w:tcPr>
            <w:tcW w:w="3300" w:type="dxa"/>
            <w:shd w:val="clear" w:color="auto" w:fill="D9D9D9"/>
            <w:vAlign w:val="center"/>
          </w:tcPr>
          <w:p w14:paraId="23B972CE" w14:textId="77777777" w:rsidR="00A2611F" w:rsidRDefault="00000000">
            <w:r>
              <w:rPr>
                <w:b/>
                <w:bCs/>
                <w:sz w:val="16"/>
                <w:szCs w:val="16"/>
              </w:rPr>
              <w:t>Definition</w:t>
            </w:r>
          </w:p>
        </w:tc>
        <w:tc>
          <w:tcPr>
            <w:tcW w:w="500" w:type="dxa"/>
            <w:shd w:val="clear" w:color="auto" w:fill="D9D9D9"/>
            <w:vAlign w:val="center"/>
          </w:tcPr>
          <w:p w14:paraId="1C75FD10" w14:textId="77777777" w:rsidR="00A2611F" w:rsidRDefault="00000000">
            <w:r>
              <w:rPr>
                <w:b/>
                <w:bCs/>
                <w:sz w:val="16"/>
                <w:szCs w:val="16"/>
              </w:rPr>
              <w:t>On</w:t>
            </w:r>
          </w:p>
        </w:tc>
        <w:tc>
          <w:tcPr>
            <w:tcW w:w="500" w:type="dxa"/>
            <w:shd w:val="clear" w:color="auto" w:fill="D9D9D9"/>
            <w:vAlign w:val="center"/>
          </w:tcPr>
          <w:p w14:paraId="757A1970" w14:textId="77777777" w:rsidR="00A2611F" w:rsidRDefault="00000000">
            <w:r>
              <w:rPr>
                <w:b/>
                <w:bCs/>
                <w:sz w:val="16"/>
                <w:szCs w:val="16"/>
              </w:rPr>
              <w:t>Off</w:t>
            </w:r>
          </w:p>
        </w:tc>
        <w:tc>
          <w:tcPr>
            <w:tcW w:w="500" w:type="dxa"/>
            <w:shd w:val="clear" w:color="auto" w:fill="D9D9D9"/>
            <w:vAlign w:val="center"/>
          </w:tcPr>
          <w:p w14:paraId="682EDA97" w14:textId="77777777" w:rsidR="00A2611F" w:rsidRDefault="00000000">
            <w:r>
              <w:rPr>
                <w:b/>
                <w:bCs/>
                <w:sz w:val="16"/>
                <w:szCs w:val="16"/>
              </w:rPr>
              <w:t>DM</w:t>
            </w:r>
          </w:p>
        </w:tc>
        <w:tc>
          <w:tcPr>
            <w:tcW w:w="600" w:type="dxa"/>
            <w:shd w:val="clear" w:color="auto" w:fill="D9D9D9"/>
            <w:vAlign w:val="center"/>
          </w:tcPr>
          <w:p w14:paraId="6884CB43" w14:textId="77777777" w:rsidR="00A2611F" w:rsidRDefault="00000000">
            <w:r>
              <w:rPr>
                <w:b/>
                <w:bCs/>
                <w:sz w:val="16"/>
                <w:szCs w:val="16"/>
              </w:rPr>
              <w:t>In</w:t>
            </w:r>
          </w:p>
        </w:tc>
        <w:tc>
          <w:tcPr>
            <w:tcW w:w="2200" w:type="dxa"/>
            <w:shd w:val="clear" w:color="auto" w:fill="D9D9D9"/>
            <w:vAlign w:val="center"/>
          </w:tcPr>
          <w:p w14:paraId="4976C592" w14:textId="77777777" w:rsidR="00A2611F" w:rsidRDefault="00000000">
            <w:r>
              <w:rPr>
                <w:b/>
                <w:bCs/>
                <w:sz w:val="16"/>
                <w:szCs w:val="16"/>
              </w:rPr>
              <w:t>Standard</w:t>
            </w:r>
          </w:p>
        </w:tc>
        <w:tc>
          <w:tcPr>
            <w:tcW w:w="2200" w:type="dxa"/>
            <w:shd w:val="clear" w:color="auto" w:fill="D9D9D9"/>
            <w:vAlign w:val="center"/>
          </w:tcPr>
          <w:p w14:paraId="6C865205" w14:textId="77777777" w:rsidR="00A2611F" w:rsidRDefault="00000000">
            <w:r>
              <w:rPr>
                <w:b/>
                <w:bCs/>
                <w:sz w:val="16"/>
                <w:szCs w:val="16"/>
              </w:rPr>
              <w:t>Advanced</w:t>
            </w:r>
          </w:p>
        </w:tc>
      </w:tr>
      <w:tr w:rsidR="00A2611F" w14:paraId="17D92C8D" w14:textId="77777777">
        <w:tc>
          <w:tcPr>
            <w:tcW w:w="1100" w:type="dxa"/>
          </w:tcPr>
          <w:p w14:paraId="05B82892" w14:textId="77777777" w:rsidR="00A2611F" w:rsidRDefault="00000000">
            <w:pPr>
              <w:spacing w:after="40"/>
            </w:pPr>
            <w:r>
              <w:rPr>
                <w:sz w:val="16"/>
                <w:szCs w:val="16"/>
              </w:rPr>
              <w:t>ROAS — Same-SKU</w:t>
            </w:r>
          </w:p>
        </w:tc>
        <w:tc>
          <w:tcPr>
            <w:tcW w:w="3300" w:type="dxa"/>
          </w:tcPr>
          <w:p w14:paraId="04F92FB3" w14:textId="77777777" w:rsidR="00A2611F" w:rsidRDefault="00000000">
            <w:pPr>
              <w:spacing w:after="40"/>
            </w:pPr>
            <w:r>
              <w:rPr>
                <w:sz w:val="16"/>
                <w:szCs w:val="16"/>
              </w:rPr>
              <w:t>Attributed sales for the advertised SKU(s) ÷ spend, on a disclosed post-click or post-view basis (§1.8).</w:t>
            </w:r>
          </w:p>
        </w:tc>
        <w:tc>
          <w:tcPr>
            <w:tcW w:w="500" w:type="dxa"/>
          </w:tcPr>
          <w:p w14:paraId="66A7A484" w14:textId="77777777" w:rsidR="00A2611F" w:rsidRDefault="00000000">
            <w:pPr>
              <w:spacing w:after="40"/>
            </w:pPr>
            <w:r>
              <w:rPr>
                <w:sz w:val="16"/>
                <w:szCs w:val="16"/>
              </w:rPr>
              <w:t>✓</w:t>
            </w:r>
          </w:p>
        </w:tc>
        <w:tc>
          <w:tcPr>
            <w:tcW w:w="500" w:type="dxa"/>
          </w:tcPr>
          <w:p w14:paraId="485F4886" w14:textId="77777777" w:rsidR="00A2611F" w:rsidRDefault="00000000">
            <w:pPr>
              <w:spacing w:after="40"/>
            </w:pPr>
            <w:r>
              <w:rPr>
                <w:sz w:val="16"/>
                <w:szCs w:val="16"/>
              </w:rPr>
              <w:t>✓</w:t>
            </w:r>
          </w:p>
        </w:tc>
        <w:tc>
          <w:tcPr>
            <w:tcW w:w="500" w:type="dxa"/>
          </w:tcPr>
          <w:p w14:paraId="0A6E1E17" w14:textId="77777777" w:rsidR="00A2611F" w:rsidRDefault="00000000">
            <w:pPr>
              <w:spacing w:after="40"/>
            </w:pPr>
            <w:r>
              <w:rPr>
                <w:sz w:val="16"/>
                <w:szCs w:val="16"/>
              </w:rPr>
              <w:t>✓</w:t>
            </w:r>
          </w:p>
        </w:tc>
        <w:tc>
          <w:tcPr>
            <w:tcW w:w="600" w:type="dxa"/>
          </w:tcPr>
          <w:p w14:paraId="3D8510ED" w14:textId="77777777" w:rsidR="00A2611F" w:rsidRDefault="00000000">
            <w:pPr>
              <w:spacing w:after="40"/>
            </w:pPr>
            <w:r>
              <w:rPr>
                <w:sz w:val="16"/>
                <w:szCs w:val="16"/>
              </w:rPr>
              <w:t>POS</w:t>
            </w:r>
          </w:p>
        </w:tc>
        <w:tc>
          <w:tcPr>
            <w:tcW w:w="2200" w:type="dxa"/>
          </w:tcPr>
          <w:p w14:paraId="34E73342" w14:textId="77777777" w:rsidR="00A2611F" w:rsidRDefault="00000000">
            <w:pPr>
              <w:spacing w:after="40"/>
            </w:pPr>
            <w:r>
              <w:rPr>
                <w:sz w:val="16"/>
                <w:szCs w:val="16"/>
              </w:rPr>
              <w:t>Gross and net both labelled (net required for on-site, §1.4), with the disclosed attribution window¹ and post-click/post-view basis.</w:t>
            </w:r>
          </w:p>
        </w:tc>
        <w:tc>
          <w:tcPr>
            <w:tcW w:w="2200" w:type="dxa"/>
          </w:tcPr>
          <w:p w14:paraId="24A638AE" w14:textId="77777777" w:rsidR="00A2611F" w:rsidRDefault="00000000">
            <w:pPr>
              <w:spacing w:after="40"/>
            </w:pPr>
            <w:r>
              <w:rPr>
                <w:sz w:val="16"/>
                <w:szCs w:val="16"/>
              </w:rPr>
              <w:t>+ click vs view split reported separately.</w:t>
            </w:r>
          </w:p>
        </w:tc>
      </w:tr>
      <w:tr w:rsidR="00A2611F" w14:paraId="71E550FD" w14:textId="77777777">
        <w:tc>
          <w:tcPr>
            <w:tcW w:w="1100" w:type="dxa"/>
          </w:tcPr>
          <w:p w14:paraId="018EDFB0" w14:textId="77777777" w:rsidR="00A2611F" w:rsidRDefault="00000000">
            <w:pPr>
              <w:spacing w:after="40"/>
            </w:pPr>
            <w:r>
              <w:rPr>
                <w:sz w:val="16"/>
                <w:szCs w:val="16"/>
              </w:rPr>
              <w:t>ROAS — Click vs View</w:t>
            </w:r>
          </w:p>
        </w:tc>
        <w:tc>
          <w:tcPr>
            <w:tcW w:w="3300" w:type="dxa"/>
          </w:tcPr>
          <w:p w14:paraId="61281AD5" w14:textId="77777777" w:rsidR="00A2611F" w:rsidRDefault="00000000">
            <w:pPr>
              <w:spacing w:after="40"/>
            </w:pPr>
            <w:r>
              <w:rPr>
                <w:sz w:val="16"/>
                <w:szCs w:val="16"/>
              </w:rPr>
              <w:t>ROAS split by click-attributed vs view-attributed outcomes, using the separate windows defined in §1.8.</w:t>
            </w:r>
          </w:p>
        </w:tc>
        <w:tc>
          <w:tcPr>
            <w:tcW w:w="500" w:type="dxa"/>
          </w:tcPr>
          <w:p w14:paraId="5A9A4A8D" w14:textId="77777777" w:rsidR="00A2611F" w:rsidRDefault="00000000">
            <w:pPr>
              <w:spacing w:after="40"/>
            </w:pPr>
            <w:r>
              <w:rPr>
                <w:sz w:val="16"/>
                <w:szCs w:val="16"/>
              </w:rPr>
              <w:t>✓</w:t>
            </w:r>
          </w:p>
        </w:tc>
        <w:tc>
          <w:tcPr>
            <w:tcW w:w="500" w:type="dxa"/>
          </w:tcPr>
          <w:p w14:paraId="6C2ADB1C" w14:textId="77777777" w:rsidR="00A2611F" w:rsidRDefault="00000000">
            <w:pPr>
              <w:spacing w:after="40"/>
            </w:pPr>
            <w:r>
              <w:rPr>
                <w:sz w:val="16"/>
                <w:szCs w:val="16"/>
              </w:rPr>
              <w:t>✓</w:t>
            </w:r>
          </w:p>
        </w:tc>
        <w:tc>
          <w:tcPr>
            <w:tcW w:w="500" w:type="dxa"/>
          </w:tcPr>
          <w:p w14:paraId="4324C3D9" w14:textId="77777777" w:rsidR="00A2611F" w:rsidRDefault="00000000">
            <w:pPr>
              <w:spacing w:after="40"/>
            </w:pPr>
            <w:r>
              <w:rPr>
                <w:sz w:val="16"/>
                <w:szCs w:val="16"/>
              </w:rPr>
              <w:t>–</w:t>
            </w:r>
          </w:p>
        </w:tc>
        <w:tc>
          <w:tcPr>
            <w:tcW w:w="600" w:type="dxa"/>
          </w:tcPr>
          <w:p w14:paraId="747A2D47" w14:textId="77777777" w:rsidR="00A2611F" w:rsidRDefault="00000000">
            <w:pPr>
              <w:spacing w:after="40"/>
            </w:pPr>
            <w:r>
              <w:rPr>
                <w:sz w:val="16"/>
                <w:szCs w:val="16"/>
              </w:rPr>
              <w:t>–</w:t>
            </w:r>
          </w:p>
        </w:tc>
        <w:tc>
          <w:tcPr>
            <w:tcW w:w="2200" w:type="dxa"/>
          </w:tcPr>
          <w:p w14:paraId="0E27E7A5" w14:textId="77777777" w:rsidR="00A2611F" w:rsidRDefault="00000000">
            <w:pPr>
              <w:spacing w:after="40"/>
            </w:pPr>
            <w:r>
              <w:rPr>
                <w:sz w:val="16"/>
                <w:szCs w:val="16"/>
              </w:rPr>
              <w:t>Click and view reported separately, with the basis disclosed.</w:t>
            </w:r>
          </w:p>
        </w:tc>
        <w:tc>
          <w:tcPr>
            <w:tcW w:w="2200" w:type="dxa"/>
          </w:tcPr>
          <w:p w14:paraId="2BEE5951" w14:textId="77777777" w:rsidR="00A2611F" w:rsidRDefault="00000000">
            <w:pPr>
              <w:spacing w:after="40"/>
            </w:pPr>
            <w:r>
              <w:rPr>
                <w:sz w:val="16"/>
                <w:szCs w:val="16"/>
              </w:rPr>
              <w:t>Separate windows per signal, empirically set.</w:t>
            </w:r>
          </w:p>
        </w:tc>
      </w:tr>
      <w:tr w:rsidR="00A2611F" w14:paraId="43F3D017" w14:textId="77777777">
        <w:tc>
          <w:tcPr>
            <w:tcW w:w="1100" w:type="dxa"/>
          </w:tcPr>
          <w:p w14:paraId="0560EE94" w14:textId="77777777" w:rsidR="00A2611F" w:rsidRDefault="00000000">
            <w:pPr>
              <w:spacing w:after="40"/>
            </w:pPr>
            <w:r>
              <w:rPr>
                <w:sz w:val="16"/>
                <w:szCs w:val="16"/>
              </w:rPr>
              <w:t>Halo ROAS</w:t>
            </w:r>
          </w:p>
        </w:tc>
        <w:tc>
          <w:tcPr>
            <w:tcW w:w="3300" w:type="dxa"/>
          </w:tcPr>
          <w:p w14:paraId="72AD5032" w14:textId="77777777" w:rsidR="00A2611F" w:rsidRDefault="00000000">
            <w:pPr>
              <w:spacing w:after="40"/>
            </w:pPr>
            <w:r>
              <w:rPr>
                <w:sz w:val="16"/>
                <w:szCs w:val="16"/>
              </w:rPr>
              <w:t>Attributed sales for the same brand or category, and for related products from the same advertiser across categories (for example a coffee-machine campaign driving coffee-pod sales), not featured in the creative ÷ spend.</w:t>
            </w:r>
          </w:p>
        </w:tc>
        <w:tc>
          <w:tcPr>
            <w:tcW w:w="500" w:type="dxa"/>
          </w:tcPr>
          <w:p w14:paraId="7DEA8359" w14:textId="77777777" w:rsidR="00A2611F" w:rsidRDefault="00000000">
            <w:pPr>
              <w:spacing w:after="40"/>
            </w:pPr>
            <w:r>
              <w:rPr>
                <w:sz w:val="16"/>
                <w:szCs w:val="16"/>
              </w:rPr>
              <w:t>✓</w:t>
            </w:r>
          </w:p>
        </w:tc>
        <w:tc>
          <w:tcPr>
            <w:tcW w:w="500" w:type="dxa"/>
          </w:tcPr>
          <w:p w14:paraId="28BDF0D5" w14:textId="77777777" w:rsidR="00A2611F" w:rsidRDefault="00000000">
            <w:pPr>
              <w:spacing w:after="40"/>
            </w:pPr>
            <w:r>
              <w:rPr>
                <w:sz w:val="16"/>
                <w:szCs w:val="16"/>
              </w:rPr>
              <w:t>✓</w:t>
            </w:r>
          </w:p>
        </w:tc>
        <w:tc>
          <w:tcPr>
            <w:tcW w:w="500" w:type="dxa"/>
          </w:tcPr>
          <w:p w14:paraId="19CCECD4" w14:textId="77777777" w:rsidR="00A2611F" w:rsidRDefault="00000000">
            <w:pPr>
              <w:spacing w:after="40"/>
            </w:pPr>
            <w:r>
              <w:rPr>
                <w:sz w:val="16"/>
                <w:szCs w:val="16"/>
              </w:rPr>
              <w:t>–</w:t>
            </w:r>
          </w:p>
        </w:tc>
        <w:tc>
          <w:tcPr>
            <w:tcW w:w="600" w:type="dxa"/>
          </w:tcPr>
          <w:p w14:paraId="65A64580" w14:textId="77777777" w:rsidR="00A2611F" w:rsidRDefault="00000000">
            <w:pPr>
              <w:spacing w:after="40"/>
            </w:pPr>
            <w:r>
              <w:rPr>
                <w:sz w:val="16"/>
                <w:szCs w:val="16"/>
              </w:rPr>
              <w:t>POS</w:t>
            </w:r>
          </w:p>
        </w:tc>
        <w:tc>
          <w:tcPr>
            <w:tcW w:w="2200" w:type="dxa"/>
          </w:tcPr>
          <w:p w14:paraId="36C51A17" w14:textId="77777777" w:rsidR="00A2611F" w:rsidRDefault="00000000">
            <w:pPr>
              <w:spacing w:after="40"/>
            </w:pPr>
            <w:r>
              <w:rPr>
                <w:sz w:val="16"/>
                <w:szCs w:val="16"/>
              </w:rPr>
              <w:t>Halo disclosed, catalogue-defined, cross-category logic disclosed.</w:t>
            </w:r>
          </w:p>
        </w:tc>
        <w:tc>
          <w:tcPr>
            <w:tcW w:w="2200" w:type="dxa"/>
          </w:tcPr>
          <w:p w14:paraId="4286AEFC" w14:textId="77777777" w:rsidR="00A2611F" w:rsidRDefault="00000000">
            <w:pPr>
              <w:spacing w:after="40"/>
            </w:pPr>
            <w:r>
              <w:rPr>
                <w:sz w:val="16"/>
                <w:szCs w:val="16"/>
              </w:rPr>
              <w:t>Halo isolated from Same-SKU; method disclosed.</w:t>
            </w:r>
          </w:p>
        </w:tc>
      </w:tr>
      <w:tr w:rsidR="00A2611F" w14:paraId="20CFFF33" w14:textId="77777777">
        <w:tc>
          <w:tcPr>
            <w:tcW w:w="1100" w:type="dxa"/>
          </w:tcPr>
          <w:p w14:paraId="7B82D453" w14:textId="77777777" w:rsidR="00A2611F" w:rsidRDefault="00000000">
            <w:pPr>
              <w:spacing w:after="40"/>
            </w:pPr>
            <w:r>
              <w:rPr>
                <w:sz w:val="16"/>
                <w:szCs w:val="16"/>
              </w:rPr>
              <w:t>Total Attributed ROAS</w:t>
            </w:r>
          </w:p>
        </w:tc>
        <w:tc>
          <w:tcPr>
            <w:tcW w:w="3300" w:type="dxa"/>
          </w:tcPr>
          <w:p w14:paraId="6518696A" w14:textId="77777777" w:rsidR="00A2611F" w:rsidRDefault="00000000">
            <w:pPr>
              <w:spacing w:after="40"/>
            </w:pPr>
            <w:r>
              <w:rPr>
                <w:sz w:val="16"/>
                <w:szCs w:val="16"/>
              </w:rPr>
              <w:t>Same-SKU and Halo attributed sales combined ÷ spend, reported alongside — never instead of — its two components.</w:t>
            </w:r>
          </w:p>
        </w:tc>
        <w:tc>
          <w:tcPr>
            <w:tcW w:w="500" w:type="dxa"/>
          </w:tcPr>
          <w:p w14:paraId="7490EBAF" w14:textId="77777777" w:rsidR="00A2611F" w:rsidRDefault="00000000">
            <w:pPr>
              <w:spacing w:after="40"/>
            </w:pPr>
            <w:r>
              <w:rPr>
                <w:sz w:val="16"/>
                <w:szCs w:val="16"/>
              </w:rPr>
              <w:t>✓</w:t>
            </w:r>
          </w:p>
        </w:tc>
        <w:tc>
          <w:tcPr>
            <w:tcW w:w="500" w:type="dxa"/>
          </w:tcPr>
          <w:p w14:paraId="76AE9327" w14:textId="77777777" w:rsidR="00A2611F" w:rsidRDefault="00000000">
            <w:pPr>
              <w:spacing w:after="40"/>
            </w:pPr>
            <w:r>
              <w:rPr>
                <w:sz w:val="16"/>
                <w:szCs w:val="16"/>
              </w:rPr>
              <w:t>✓</w:t>
            </w:r>
          </w:p>
        </w:tc>
        <w:tc>
          <w:tcPr>
            <w:tcW w:w="500" w:type="dxa"/>
          </w:tcPr>
          <w:p w14:paraId="225045AB" w14:textId="77777777" w:rsidR="00A2611F" w:rsidRDefault="00000000">
            <w:pPr>
              <w:spacing w:after="40"/>
            </w:pPr>
            <w:r>
              <w:rPr>
                <w:sz w:val="16"/>
                <w:szCs w:val="16"/>
              </w:rPr>
              <w:t>–</w:t>
            </w:r>
          </w:p>
        </w:tc>
        <w:tc>
          <w:tcPr>
            <w:tcW w:w="600" w:type="dxa"/>
          </w:tcPr>
          <w:p w14:paraId="7C8D6664" w14:textId="77777777" w:rsidR="00A2611F" w:rsidRDefault="00000000">
            <w:pPr>
              <w:spacing w:after="40"/>
            </w:pPr>
            <w:r>
              <w:rPr>
                <w:sz w:val="16"/>
                <w:szCs w:val="16"/>
              </w:rPr>
              <w:t>POS</w:t>
            </w:r>
          </w:p>
        </w:tc>
        <w:tc>
          <w:tcPr>
            <w:tcW w:w="2200" w:type="dxa"/>
          </w:tcPr>
          <w:p w14:paraId="579E1026" w14:textId="77777777" w:rsidR="00A2611F" w:rsidRDefault="00000000">
            <w:pPr>
              <w:spacing w:after="40"/>
            </w:pPr>
            <w:r>
              <w:rPr>
                <w:sz w:val="16"/>
                <w:szCs w:val="16"/>
              </w:rPr>
              <w:t>Reported as the disclosed sum of its labelled components.</w:t>
            </w:r>
          </w:p>
        </w:tc>
        <w:tc>
          <w:tcPr>
            <w:tcW w:w="2200" w:type="dxa"/>
          </w:tcPr>
          <w:p w14:paraId="65DE6B87" w14:textId="77777777" w:rsidR="00A2611F" w:rsidRDefault="00000000">
            <w:pPr>
              <w:spacing w:after="40"/>
            </w:pPr>
            <w:r>
              <w:rPr>
                <w:sz w:val="16"/>
                <w:szCs w:val="16"/>
              </w:rPr>
              <w:t>Reconciled to its Same-SKU and Halo components.</w:t>
            </w:r>
          </w:p>
        </w:tc>
      </w:tr>
      <w:tr w:rsidR="00A2611F" w14:paraId="1693E48E" w14:textId="77777777">
        <w:tc>
          <w:tcPr>
            <w:tcW w:w="1100" w:type="dxa"/>
          </w:tcPr>
          <w:p w14:paraId="667E033E" w14:textId="77777777" w:rsidR="00A2611F" w:rsidRDefault="00000000">
            <w:pPr>
              <w:spacing w:after="40"/>
            </w:pPr>
            <w:r>
              <w:rPr>
                <w:sz w:val="16"/>
                <w:szCs w:val="16"/>
              </w:rPr>
              <w:t>Attributed Sales (Omni)</w:t>
            </w:r>
          </w:p>
        </w:tc>
        <w:tc>
          <w:tcPr>
            <w:tcW w:w="3300" w:type="dxa"/>
          </w:tcPr>
          <w:p w14:paraId="0B4F58D0" w14:textId="77777777" w:rsidR="00A2611F" w:rsidRDefault="00000000">
            <w:pPr>
              <w:spacing w:after="40"/>
            </w:pPr>
            <w:r>
              <w:rPr>
                <w:sz w:val="16"/>
                <w:szCs w:val="16"/>
              </w:rPr>
              <w:t>Sales attributed to the campaign across online and offline, with the 1P/3P basis disclosed where a marketplace exists.</w:t>
            </w:r>
          </w:p>
        </w:tc>
        <w:tc>
          <w:tcPr>
            <w:tcW w:w="500" w:type="dxa"/>
          </w:tcPr>
          <w:p w14:paraId="7E0EDDA1" w14:textId="77777777" w:rsidR="00A2611F" w:rsidRDefault="00000000">
            <w:pPr>
              <w:spacing w:after="40"/>
            </w:pPr>
            <w:r>
              <w:rPr>
                <w:sz w:val="16"/>
                <w:szCs w:val="16"/>
              </w:rPr>
              <w:t>✓</w:t>
            </w:r>
          </w:p>
        </w:tc>
        <w:tc>
          <w:tcPr>
            <w:tcW w:w="500" w:type="dxa"/>
          </w:tcPr>
          <w:p w14:paraId="1B5960ED" w14:textId="77777777" w:rsidR="00A2611F" w:rsidRDefault="00000000">
            <w:pPr>
              <w:spacing w:after="40"/>
            </w:pPr>
            <w:r>
              <w:rPr>
                <w:sz w:val="16"/>
                <w:szCs w:val="16"/>
              </w:rPr>
              <w:t>✓</w:t>
            </w:r>
          </w:p>
        </w:tc>
        <w:tc>
          <w:tcPr>
            <w:tcW w:w="500" w:type="dxa"/>
          </w:tcPr>
          <w:p w14:paraId="4EE82C41" w14:textId="77777777" w:rsidR="00A2611F" w:rsidRDefault="00000000">
            <w:pPr>
              <w:spacing w:after="40"/>
            </w:pPr>
            <w:r>
              <w:rPr>
                <w:sz w:val="16"/>
                <w:szCs w:val="16"/>
              </w:rPr>
              <w:t>✓</w:t>
            </w:r>
          </w:p>
        </w:tc>
        <w:tc>
          <w:tcPr>
            <w:tcW w:w="600" w:type="dxa"/>
          </w:tcPr>
          <w:p w14:paraId="3BF69061" w14:textId="77777777" w:rsidR="00A2611F" w:rsidRDefault="00000000">
            <w:pPr>
              <w:spacing w:after="40"/>
            </w:pPr>
            <w:r>
              <w:rPr>
                <w:sz w:val="16"/>
                <w:szCs w:val="16"/>
              </w:rPr>
              <w:t>POS</w:t>
            </w:r>
          </w:p>
        </w:tc>
        <w:tc>
          <w:tcPr>
            <w:tcW w:w="2200" w:type="dxa"/>
          </w:tcPr>
          <w:p w14:paraId="7D0DC01D" w14:textId="77777777" w:rsidR="00A2611F" w:rsidRDefault="00000000">
            <w:pPr>
              <w:spacing w:after="40"/>
            </w:pPr>
            <w:r>
              <w:rPr>
                <w:sz w:val="16"/>
                <w:szCs w:val="16"/>
              </w:rPr>
              <w:t>Online and offline attributed sales differentiated², with the 1P/3P basis stated.</w:t>
            </w:r>
          </w:p>
        </w:tc>
        <w:tc>
          <w:tcPr>
            <w:tcW w:w="2200" w:type="dxa"/>
          </w:tcPr>
          <w:p w14:paraId="13900170" w14:textId="77777777" w:rsidR="00A2611F" w:rsidRDefault="00000000">
            <w:pPr>
              <w:spacing w:after="40"/>
            </w:pPr>
            <w:r>
              <w:rPr>
                <w:sz w:val="16"/>
                <w:szCs w:val="16"/>
              </w:rPr>
              <w:t>Omni view with deterministic offline linkage.</w:t>
            </w:r>
          </w:p>
        </w:tc>
      </w:tr>
      <w:tr w:rsidR="00A2611F" w14:paraId="560FB672" w14:textId="77777777">
        <w:tc>
          <w:tcPr>
            <w:tcW w:w="1100" w:type="dxa"/>
          </w:tcPr>
          <w:p w14:paraId="42B3DE46" w14:textId="77777777" w:rsidR="00A2611F" w:rsidRDefault="00000000">
            <w:pPr>
              <w:spacing w:after="40"/>
            </w:pPr>
            <w:r>
              <w:rPr>
                <w:sz w:val="16"/>
                <w:szCs w:val="16"/>
              </w:rPr>
              <w:t>Conversion Rate</w:t>
            </w:r>
          </w:p>
        </w:tc>
        <w:tc>
          <w:tcPr>
            <w:tcW w:w="3300" w:type="dxa"/>
          </w:tcPr>
          <w:p w14:paraId="0962F03C" w14:textId="77777777" w:rsidR="00A2611F" w:rsidRDefault="00000000">
            <w:pPr>
              <w:spacing w:after="40"/>
            </w:pPr>
            <w:r>
              <w:rPr>
                <w:sz w:val="16"/>
                <w:szCs w:val="16"/>
              </w:rPr>
              <w:t>Orders per visit (online) or per impression (omni), on the disclosed post-click/post-view basis.</w:t>
            </w:r>
          </w:p>
        </w:tc>
        <w:tc>
          <w:tcPr>
            <w:tcW w:w="500" w:type="dxa"/>
          </w:tcPr>
          <w:p w14:paraId="33A6E83E" w14:textId="77777777" w:rsidR="00A2611F" w:rsidRDefault="00000000">
            <w:pPr>
              <w:spacing w:after="40"/>
            </w:pPr>
            <w:r>
              <w:rPr>
                <w:sz w:val="16"/>
                <w:szCs w:val="16"/>
              </w:rPr>
              <w:t>✓</w:t>
            </w:r>
          </w:p>
        </w:tc>
        <w:tc>
          <w:tcPr>
            <w:tcW w:w="500" w:type="dxa"/>
          </w:tcPr>
          <w:p w14:paraId="25286014" w14:textId="77777777" w:rsidR="00A2611F" w:rsidRDefault="00000000">
            <w:pPr>
              <w:spacing w:after="40"/>
            </w:pPr>
            <w:r>
              <w:rPr>
                <w:sz w:val="16"/>
                <w:szCs w:val="16"/>
              </w:rPr>
              <w:t>✓</w:t>
            </w:r>
          </w:p>
        </w:tc>
        <w:tc>
          <w:tcPr>
            <w:tcW w:w="500" w:type="dxa"/>
          </w:tcPr>
          <w:p w14:paraId="18FA92AB" w14:textId="77777777" w:rsidR="00A2611F" w:rsidRDefault="00000000">
            <w:pPr>
              <w:spacing w:after="40"/>
            </w:pPr>
            <w:r>
              <w:rPr>
                <w:sz w:val="16"/>
                <w:szCs w:val="16"/>
              </w:rPr>
              <w:t>✓</w:t>
            </w:r>
          </w:p>
        </w:tc>
        <w:tc>
          <w:tcPr>
            <w:tcW w:w="600" w:type="dxa"/>
          </w:tcPr>
          <w:p w14:paraId="5FD974D3" w14:textId="77777777" w:rsidR="00A2611F" w:rsidRDefault="00000000">
            <w:pPr>
              <w:spacing w:after="40"/>
            </w:pPr>
            <w:r>
              <w:rPr>
                <w:sz w:val="16"/>
                <w:szCs w:val="16"/>
              </w:rPr>
              <w:t>–</w:t>
            </w:r>
          </w:p>
        </w:tc>
        <w:tc>
          <w:tcPr>
            <w:tcW w:w="2200" w:type="dxa"/>
          </w:tcPr>
          <w:p w14:paraId="3463A02A" w14:textId="77777777" w:rsidR="00A2611F" w:rsidRDefault="00000000">
            <w:pPr>
              <w:spacing w:after="40"/>
            </w:pPr>
            <w:r>
              <w:rPr>
                <w:sz w:val="16"/>
                <w:szCs w:val="16"/>
              </w:rPr>
              <w:t>Online and omni conversion rate reported, with the method and basis disclosed.</w:t>
            </w:r>
          </w:p>
        </w:tc>
        <w:tc>
          <w:tcPr>
            <w:tcW w:w="2200" w:type="dxa"/>
          </w:tcPr>
          <w:p w14:paraId="6D04391B" w14:textId="77777777" w:rsidR="00A2611F" w:rsidRDefault="00000000">
            <w:pPr>
              <w:spacing w:after="40"/>
            </w:pPr>
            <w:r>
              <w:rPr>
                <w:sz w:val="16"/>
                <w:szCs w:val="16"/>
              </w:rPr>
              <w:t>Per-event methodology fully specified.</w:t>
            </w:r>
          </w:p>
        </w:tc>
      </w:tr>
      <w:tr w:rsidR="00A2611F" w14:paraId="377487B4" w14:textId="77777777">
        <w:tc>
          <w:tcPr>
            <w:tcW w:w="1100" w:type="dxa"/>
          </w:tcPr>
          <w:p w14:paraId="33D71426" w14:textId="77777777" w:rsidR="00A2611F" w:rsidRDefault="00000000">
            <w:pPr>
              <w:spacing w:after="40"/>
            </w:pPr>
            <w:r>
              <w:rPr>
                <w:sz w:val="16"/>
                <w:szCs w:val="16"/>
              </w:rPr>
              <w:t>Click Share</w:t>
            </w:r>
          </w:p>
        </w:tc>
        <w:tc>
          <w:tcPr>
            <w:tcW w:w="3300" w:type="dxa"/>
          </w:tcPr>
          <w:p w14:paraId="5D2CBC63" w14:textId="77777777" w:rsidR="00A2611F" w:rsidRDefault="00000000">
            <w:pPr>
              <w:spacing w:after="40"/>
            </w:pPr>
            <w:r>
              <w:rPr>
                <w:sz w:val="16"/>
                <w:szCs w:val="16"/>
              </w:rPr>
              <w:t>Brand SKU placements ÷ total placements on a results/category page, with keyword and placement granularity where search-driven.</w:t>
            </w:r>
          </w:p>
        </w:tc>
        <w:tc>
          <w:tcPr>
            <w:tcW w:w="500" w:type="dxa"/>
          </w:tcPr>
          <w:p w14:paraId="1843FFDA" w14:textId="77777777" w:rsidR="00A2611F" w:rsidRDefault="00000000">
            <w:pPr>
              <w:spacing w:after="40"/>
            </w:pPr>
            <w:r>
              <w:rPr>
                <w:sz w:val="16"/>
                <w:szCs w:val="16"/>
              </w:rPr>
              <w:t>✓</w:t>
            </w:r>
          </w:p>
        </w:tc>
        <w:tc>
          <w:tcPr>
            <w:tcW w:w="500" w:type="dxa"/>
          </w:tcPr>
          <w:p w14:paraId="03BB1887" w14:textId="77777777" w:rsidR="00A2611F" w:rsidRDefault="00000000">
            <w:pPr>
              <w:spacing w:after="40"/>
            </w:pPr>
            <w:r>
              <w:rPr>
                <w:sz w:val="16"/>
                <w:szCs w:val="16"/>
              </w:rPr>
              <w:t>–</w:t>
            </w:r>
          </w:p>
        </w:tc>
        <w:tc>
          <w:tcPr>
            <w:tcW w:w="500" w:type="dxa"/>
          </w:tcPr>
          <w:p w14:paraId="3BA8ADB6" w14:textId="77777777" w:rsidR="00A2611F" w:rsidRDefault="00000000">
            <w:pPr>
              <w:spacing w:after="40"/>
            </w:pPr>
            <w:r>
              <w:rPr>
                <w:sz w:val="16"/>
                <w:szCs w:val="16"/>
              </w:rPr>
              <w:t>–</w:t>
            </w:r>
          </w:p>
        </w:tc>
        <w:tc>
          <w:tcPr>
            <w:tcW w:w="600" w:type="dxa"/>
          </w:tcPr>
          <w:p w14:paraId="511D0192" w14:textId="77777777" w:rsidR="00A2611F" w:rsidRDefault="00000000">
            <w:pPr>
              <w:spacing w:after="40"/>
            </w:pPr>
            <w:r>
              <w:rPr>
                <w:sz w:val="16"/>
                <w:szCs w:val="16"/>
              </w:rPr>
              <w:t>–</w:t>
            </w:r>
          </w:p>
        </w:tc>
        <w:tc>
          <w:tcPr>
            <w:tcW w:w="2200" w:type="dxa"/>
          </w:tcPr>
          <w:p w14:paraId="60D231CD" w14:textId="77777777" w:rsidR="00A2611F" w:rsidRDefault="00000000">
            <w:pPr>
              <w:spacing w:after="40"/>
            </w:pPr>
            <w:r>
              <w:rPr>
                <w:sz w:val="16"/>
                <w:szCs w:val="16"/>
              </w:rPr>
              <w:t>Reported as organic / paid / both; keyword granularity where available.</w:t>
            </w:r>
          </w:p>
        </w:tc>
        <w:tc>
          <w:tcPr>
            <w:tcW w:w="2200" w:type="dxa"/>
          </w:tcPr>
          <w:p w14:paraId="7ACD77A9" w14:textId="77777777" w:rsidR="00A2611F" w:rsidRDefault="00000000">
            <w:pPr>
              <w:spacing w:after="40"/>
            </w:pPr>
            <w:r>
              <w:rPr>
                <w:sz w:val="16"/>
                <w:szCs w:val="16"/>
              </w:rPr>
              <w:t>Tracked over time with placement context.</w:t>
            </w:r>
          </w:p>
        </w:tc>
      </w:tr>
      <w:tr w:rsidR="00A2611F" w14:paraId="50653771" w14:textId="77777777">
        <w:tc>
          <w:tcPr>
            <w:tcW w:w="1100" w:type="dxa"/>
          </w:tcPr>
          <w:p w14:paraId="0C86E13B" w14:textId="77777777" w:rsidR="00A2611F" w:rsidRDefault="00000000">
            <w:pPr>
              <w:spacing w:after="40"/>
            </w:pPr>
            <w:r>
              <w:rPr>
                <w:sz w:val="16"/>
                <w:szCs w:val="16"/>
              </w:rPr>
              <w:t>Basket / AOV</w:t>
            </w:r>
          </w:p>
        </w:tc>
        <w:tc>
          <w:tcPr>
            <w:tcW w:w="3300" w:type="dxa"/>
          </w:tcPr>
          <w:p w14:paraId="2D7B49EF" w14:textId="77777777" w:rsidR="00A2611F" w:rsidRDefault="00000000">
            <w:pPr>
              <w:spacing w:after="40"/>
            </w:pPr>
            <w:r>
              <w:rPr>
                <w:sz w:val="16"/>
                <w:szCs w:val="16"/>
              </w:rPr>
              <w:t>Average value of the attributed transaction basket, including attach-rate and basket-composition reporting where measured.</w:t>
            </w:r>
          </w:p>
        </w:tc>
        <w:tc>
          <w:tcPr>
            <w:tcW w:w="500" w:type="dxa"/>
          </w:tcPr>
          <w:p w14:paraId="6DD023D2" w14:textId="77777777" w:rsidR="00A2611F" w:rsidRDefault="00000000">
            <w:pPr>
              <w:spacing w:after="40"/>
            </w:pPr>
            <w:r>
              <w:rPr>
                <w:sz w:val="16"/>
                <w:szCs w:val="16"/>
              </w:rPr>
              <w:t>✓</w:t>
            </w:r>
          </w:p>
        </w:tc>
        <w:tc>
          <w:tcPr>
            <w:tcW w:w="500" w:type="dxa"/>
          </w:tcPr>
          <w:p w14:paraId="64FB32DC" w14:textId="77777777" w:rsidR="00A2611F" w:rsidRDefault="00000000">
            <w:pPr>
              <w:spacing w:after="40"/>
            </w:pPr>
            <w:r>
              <w:rPr>
                <w:sz w:val="16"/>
                <w:szCs w:val="16"/>
              </w:rPr>
              <w:t>✓</w:t>
            </w:r>
          </w:p>
        </w:tc>
        <w:tc>
          <w:tcPr>
            <w:tcW w:w="500" w:type="dxa"/>
          </w:tcPr>
          <w:p w14:paraId="13DB20A1" w14:textId="77777777" w:rsidR="00A2611F" w:rsidRDefault="00000000">
            <w:pPr>
              <w:spacing w:after="40"/>
            </w:pPr>
            <w:r>
              <w:rPr>
                <w:sz w:val="16"/>
                <w:szCs w:val="16"/>
              </w:rPr>
              <w:t>✓</w:t>
            </w:r>
          </w:p>
        </w:tc>
        <w:tc>
          <w:tcPr>
            <w:tcW w:w="600" w:type="dxa"/>
          </w:tcPr>
          <w:p w14:paraId="587F79E2" w14:textId="77777777" w:rsidR="00A2611F" w:rsidRDefault="00000000">
            <w:pPr>
              <w:spacing w:after="40"/>
            </w:pPr>
            <w:r>
              <w:rPr>
                <w:sz w:val="16"/>
                <w:szCs w:val="16"/>
              </w:rPr>
              <w:t>POS</w:t>
            </w:r>
          </w:p>
        </w:tc>
        <w:tc>
          <w:tcPr>
            <w:tcW w:w="2200" w:type="dxa"/>
          </w:tcPr>
          <w:p w14:paraId="2D73B230" w14:textId="77777777" w:rsidR="00A2611F" w:rsidRDefault="00000000">
            <w:pPr>
              <w:spacing w:after="40"/>
            </w:pPr>
            <w:r>
              <w:rPr>
                <w:sz w:val="16"/>
                <w:szCs w:val="16"/>
              </w:rPr>
              <w:t>AOV for attributed orders reported by campaign and SKU, with attached-item/basket composition where available.</w:t>
            </w:r>
          </w:p>
        </w:tc>
        <w:tc>
          <w:tcPr>
            <w:tcW w:w="2200" w:type="dxa"/>
          </w:tcPr>
          <w:p w14:paraId="4A87A22B" w14:textId="77777777" w:rsidR="00A2611F" w:rsidRDefault="00000000">
            <w:pPr>
              <w:spacing w:after="40"/>
            </w:pPr>
            <w:r>
              <w:rPr>
                <w:sz w:val="16"/>
                <w:szCs w:val="16"/>
              </w:rPr>
              <w:t>Incremental basket effect and attach-rate lift isolated vs control.</w:t>
            </w:r>
          </w:p>
        </w:tc>
      </w:tr>
      <w:tr w:rsidR="00A2611F" w14:paraId="1D0238C3" w14:textId="77777777">
        <w:tc>
          <w:tcPr>
            <w:tcW w:w="1100" w:type="dxa"/>
          </w:tcPr>
          <w:p w14:paraId="560CD280" w14:textId="77777777" w:rsidR="00A2611F" w:rsidRDefault="00000000">
            <w:pPr>
              <w:spacing w:after="40"/>
            </w:pPr>
            <w:r>
              <w:rPr>
                <w:sz w:val="16"/>
                <w:szCs w:val="16"/>
              </w:rPr>
              <w:t>Category Share Growth</w:t>
            </w:r>
          </w:p>
        </w:tc>
        <w:tc>
          <w:tcPr>
            <w:tcW w:w="3300" w:type="dxa"/>
          </w:tcPr>
          <w:p w14:paraId="44F45A48" w14:textId="77777777" w:rsidR="00A2611F" w:rsidRDefault="00000000">
            <w:pPr>
              <w:spacing w:after="40"/>
            </w:pPr>
            <w:r>
              <w:rPr>
                <w:sz w:val="16"/>
                <w:szCs w:val="16"/>
              </w:rPr>
              <w:t>Brand sales growth vs total category growth in the period.</w:t>
            </w:r>
          </w:p>
        </w:tc>
        <w:tc>
          <w:tcPr>
            <w:tcW w:w="500" w:type="dxa"/>
          </w:tcPr>
          <w:p w14:paraId="6D385791" w14:textId="77777777" w:rsidR="00A2611F" w:rsidRDefault="00000000">
            <w:pPr>
              <w:spacing w:after="40"/>
            </w:pPr>
            <w:r>
              <w:rPr>
                <w:sz w:val="16"/>
                <w:szCs w:val="16"/>
              </w:rPr>
              <w:t>✓</w:t>
            </w:r>
          </w:p>
        </w:tc>
        <w:tc>
          <w:tcPr>
            <w:tcW w:w="500" w:type="dxa"/>
          </w:tcPr>
          <w:p w14:paraId="25844698" w14:textId="77777777" w:rsidR="00A2611F" w:rsidRDefault="00000000">
            <w:pPr>
              <w:spacing w:after="40"/>
            </w:pPr>
            <w:r>
              <w:rPr>
                <w:sz w:val="16"/>
                <w:szCs w:val="16"/>
              </w:rPr>
              <w:t>✓</w:t>
            </w:r>
          </w:p>
        </w:tc>
        <w:tc>
          <w:tcPr>
            <w:tcW w:w="500" w:type="dxa"/>
          </w:tcPr>
          <w:p w14:paraId="5E9504DE" w14:textId="77777777" w:rsidR="00A2611F" w:rsidRDefault="00000000">
            <w:pPr>
              <w:spacing w:after="40"/>
            </w:pPr>
            <w:r>
              <w:rPr>
                <w:sz w:val="16"/>
                <w:szCs w:val="16"/>
              </w:rPr>
              <w:t>–</w:t>
            </w:r>
          </w:p>
        </w:tc>
        <w:tc>
          <w:tcPr>
            <w:tcW w:w="600" w:type="dxa"/>
          </w:tcPr>
          <w:p w14:paraId="15E895B6" w14:textId="77777777" w:rsidR="00A2611F" w:rsidRDefault="00000000">
            <w:pPr>
              <w:spacing w:after="40"/>
            </w:pPr>
            <w:r>
              <w:rPr>
                <w:sz w:val="16"/>
                <w:szCs w:val="16"/>
              </w:rPr>
              <w:t>POS</w:t>
            </w:r>
          </w:p>
        </w:tc>
        <w:tc>
          <w:tcPr>
            <w:tcW w:w="2200" w:type="dxa"/>
          </w:tcPr>
          <w:p w14:paraId="16C43186" w14:textId="77777777" w:rsidR="00A2611F" w:rsidRDefault="00000000">
            <w:pPr>
              <w:spacing w:after="40"/>
            </w:pPr>
            <w:r>
              <w:rPr>
                <w:sz w:val="16"/>
                <w:szCs w:val="16"/>
              </w:rPr>
              <w:t>Directional before/after category share growth, disclosed as % or bps on an agreed cadence.</w:t>
            </w:r>
          </w:p>
        </w:tc>
        <w:tc>
          <w:tcPr>
            <w:tcW w:w="2200" w:type="dxa"/>
          </w:tcPr>
          <w:p w14:paraId="7FACA350" w14:textId="77777777" w:rsidR="00A2611F" w:rsidRDefault="00000000">
            <w:pPr>
              <w:spacing w:after="40"/>
            </w:pPr>
            <w:r>
              <w:rPr>
                <w:sz w:val="16"/>
                <w:szCs w:val="16"/>
              </w:rPr>
              <w:t>Modelled against category baseline.</w:t>
            </w:r>
          </w:p>
        </w:tc>
      </w:tr>
    </w:tbl>
    <w:p w14:paraId="79485EB0" w14:textId="77777777" w:rsidR="00A2611F" w:rsidRDefault="00000000">
      <w:pPr>
        <w:spacing w:before="100" w:after="220"/>
      </w:pPr>
      <w:r>
        <w:rPr>
          <w:i/>
          <w:iCs/>
          <w:color w:val="444444"/>
          <w:sz w:val="18"/>
          <w:szCs w:val="18"/>
        </w:rPr>
        <w:t>¹ Gross is the SA default basis (§1.4); VAT treatment and discount/voucher treatment must be disclosed alongside it; the attribution window must be disclosed pre-campaign (§1.8). ² Offline attributed sales depend on loyalty-ID linkage; the linkage rate, its calculation basis, and any extrapolation must be disclosed (§1.2–§1.3, §2.5). Where a retailer operates a third-party marketplace, attributed sales must disclose whether the figure is 1P, 3P, or blended, and 3P sales should be attributed to the specific reseller (see New to Seller, §2.3).</w:t>
      </w:r>
    </w:p>
    <w:p w14:paraId="68657B93" w14:textId="77777777" w:rsidR="00A2611F" w:rsidRDefault="00000000">
      <w:r>
        <w:br w:type="page"/>
      </w:r>
    </w:p>
    <w:p w14:paraId="18429723" w14:textId="77777777" w:rsidR="00A2611F" w:rsidRDefault="00000000">
      <w:pPr>
        <w:pStyle w:val="Heading2"/>
      </w:pPr>
      <w:r>
        <w:lastRenderedPageBreak/>
        <w:t>2.3 Customer Insights</w:t>
      </w:r>
    </w:p>
    <w:tbl>
      <w:tblPr>
        <w:tblW w:w="10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3300"/>
        <w:gridCol w:w="500"/>
        <w:gridCol w:w="500"/>
        <w:gridCol w:w="500"/>
        <w:gridCol w:w="600"/>
        <w:gridCol w:w="2200"/>
        <w:gridCol w:w="2200"/>
      </w:tblGrid>
      <w:tr w:rsidR="00A2611F" w14:paraId="21DD86FC" w14:textId="77777777">
        <w:trPr>
          <w:tblHeader/>
        </w:trPr>
        <w:tc>
          <w:tcPr>
            <w:tcW w:w="1100" w:type="dxa"/>
            <w:shd w:val="clear" w:color="auto" w:fill="D9D9D9"/>
            <w:vAlign w:val="center"/>
          </w:tcPr>
          <w:p w14:paraId="4DACE04C" w14:textId="77777777" w:rsidR="00A2611F" w:rsidRDefault="00000000">
            <w:r>
              <w:rPr>
                <w:b/>
                <w:bCs/>
                <w:sz w:val="16"/>
                <w:szCs w:val="16"/>
              </w:rPr>
              <w:t>Metric</w:t>
            </w:r>
          </w:p>
        </w:tc>
        <w:tc>
          <w:tcPr>
            <w:tcW w:w="3300" w:type="dxa"/>
            <w:shd w:val="clear" w:color="auto" w:fill="D9D9D9"/>
            <w:vAlign w:val="center"/>
          </w:tcPr>
          <w:p w14:paraId="7C25A17E" w14:textId="77777777" w:rsidR="00A2611F" w:rsidRDefault="00000000">
            <w:r>
              <w:rPr>
                <w:b/>
                <w:bCs/>
                <w:sz w:val="16"/>
                <w:szCs w:val="16"/>
              </w:rPr>
              <w:t>Definition</w:t>
            </w:r>
          </w:p>
        </w:tc>
        <w:tc>
          <w:tcPr>
            <w:tcW w:w="500" w:type="dxa"/>
            <w:shd w:val="clear" w:color="auto" w:fill="D9D9D9"/>
            <w:vAlign w:val="center"/>
          </w:tcPr>
          <w:p w14:paraId="4AB14F77" w14:textId="77777777" w:rsidR="00A2611F" w:rsidRDefault="00000000">
            <w:r>
              <w:rPr>
                <w:b/>
                <w:bCs/>
                <w:sz w:val="16"/>
                <w:szCs w:val="16"/>
              </w:rPr>
              <w:t>On</w:t>
            </w:r>
          </w:p>
        </w:tc>
        <w:tc>
          <w:tcPr>
            <w:tcW w:w="500" w:type="dxa"/>
            <w:shd w:val="clear" w:color="auto" w:fill="D9D9D9"/>
            <w:vAlign w:val="center"/>
          </w:tcPr>
          <w:p w14:paraId="0F426944" w14:textId="77777777" w:rsidR="00A2611F" w:rsidRDefault="00000000">
            <w:r>
              <w:rPr>
                <w:b/>
                <w:bCs/>
                <w:sz w:val="16"/>
                <w:szCs w:val="16"/>
              </w:rPr>
              <w:t>Off</w:t>
            </w:r>
          </w:p>
        </w:tc>
        <w:tc>
          <w:tcPr>
            <w:tcW w:w="500" w:type="dxa"/>
            <w:shd w:val="clear" w:color="auto" w:fill="D9D9D9"/>
            <w:vAlign w:val="center"/>
          </w:tcPr>
          <w:p w14:paraId="01CD11CD" w14:textId="77777777" w:rsidR="00A2611F" w:rsidRDefault="00000000">
            <w:r>
              <w:rPr>
                <w:b/>
                <w:bCs/>
                <w:sz w:val="16"/>
                <w:szCs w:val="16"/>
              </w:rPr>
              <w:t>DM</w:t>
            </w:r>
          </w:p>
        </w:tc>
        <w:tc>
          <w:tcPr>
            <w:tcW w:w="600" w:type="dxa"/>
            <w:shd w:val="clear" w:color="auto" w:fill="D9D9D9"/>
            <w:vAlign w:val="center"/>
          </w:tcPr>
          <w:p w14:paraId="33308C83" w14:textId="77777777" w:rsidR="00A2611F" w:rsidRDefault="00000000">
            <w:r>
              <w:rPr>
                <w:b/>
                <w:bCs/>
                <w:sz w:val="16"/>
                <w:szCs w:val="16"/>
              </w:rPr>
              <w:t>In</w:t>
            </w:r>
          </w:p>
        </w:tc>
        <w:tc>
          <w:tcPr>
            <w:tcW w:w="2200" w:type="dxa"/>
            <w:shd w:val="clear" w:color="auto" w:fill="D9D9D9"/>
            <w:vAlign w:val="center"/>
          </w:tcPr>
          <w:p w14:paraId="688B496B" w14:textId="77777777" w:rsidR="00A2611F" w:rsidRDefault="00000000">
            <w:r>
              <w:rPr>
                <w:b/>
                <w:bCs/>
                <w:sz w:val="16"/>
                <w:szCs w:val="16"/>
              </w:rPr>
              <w:t>Standard</w:t>
            </w:r>
          </w:p>
        </w:tc>
        <w:tc>
          <w:tcPr>
            <w:tcW w:w="2200" w:type="dxa"/>
            <w:shd w:val="clear" w:color="auto" w:fill="D9D9D9"/>
            <w:vAlign w:val="center"/>
          </w:tcPr>
          <w:p w14:paraId="428C77D2" w14:textId="77777777" w:rsidR="00A2611F" w:rsidRDefault="00000000">
            <w:r>
              <w:rPr>
                <w:b/>
                <w:bCs/>
                <w:sz w:val="16"/>
                <w:szCs w:val="16"/>
              </w:rPr>
              <w:t>Advanced</w:t>
            </w:r>
          </w:p>
        </w:tc>
      </w:tr>
      <w:tr w:rsidR="00A2611F" w14:paraId="08DB56CF" w14:textId="77777777">
        <w:tc>
          <w:tcPr>
            <w:tcW w:w="1100" w:type="dxa"/>
          </w:tcPr>
          <w:p w14:paraId="4A904744" w14:textId="77777777" w:rsidR="00A2611F" w:rsidRDefault="00000000">
            <w:pPr>
              <w:spacing w:after="40"/>
            </w:pPr>
            <w:r>
              <w:rPr>
                <w:sz w:val="16"/>
                <w:szCs w:val="16"/>
              </w:rPr>
              <w:t>New to Brand (NTB)</w:t>
            </w:r>
          </w:p>
        </w:tc>
        <w:tc>
          <w:tcPr>
            <w:tcW w:w="3300" w:type="dxa"/>
          </w:tcPr>
          <w:p w14:paraId="1C0ACDC1" w14:textId="77777777" w:rsidR="00A2611F" w:rsidRDefault="00000000">
            <w:pPr>
              <w:spacing w:after="40"/>
            </w:pPr>
            <w:r>
              <w:rPr>
                <w:sz w:val="16"/>
                <w:szCs w:val="16"/>
              </w:rPr>
              <w:t>Shopper with no brand purchase in a disclosed lookback window, stated as either a fixed period (for example twelve months) or the shopper's lifetime-to-date with the retailer.</w:t>
            </w:r>
          </w:p>
        </w:tc>
        <w:tc>
          <w:tcPr>
            <w:tcW w:w="500" w:type="dxa"/>
          </w:tcPr>
          <w:p w14:paraId="6584149E" w14:textId="77777777" w:rsidR="00A2611F" w:rsidRDefault="00000000">
            <w:pPr>
              <w:spacing w:after="40"/>
            </w:pPr>
            <w:r>
              <w:rPr>
                <w:sz w:val="16"/>
                <w:szCs w:val="16"/>
              </w:rPr>
              <w:t>✓</w:t>
            </w:r>
          </w:p>
        </w:tc>
        <w:tc>
          <w:tcPr>
            <w:tcW w:w="500" w:type="dxa"/>
          </w:tcPr>
          <w:p w14:paraId="1717D162" w14:textId="77777777" w:rsidR="00A2611F" w:rsidRDefault="00000000">
            <w:pPr>
              <w:spacing w:after="40"/>
            </w:pPr>
            <w:r>
              <w:rPr>
                <w:sz w:val="16"/>
                <w:szCs w:val="16"/>
              </w:rPr>
              <w:t>✓</w:t>
            </w:r>
          </w:p>
        </w:tc>
        <w:tc>
          <w:tcPr>
            <w:tcW w:w="500" w:type="dxa"/>
          </w:tcPr>
          <w:p w14:paraId="07C86A3B" w14:textId="77777777" w:rsidR="00A2611F" w:rsidRDefault="00000000">
            <w:pPr>
              <w:spacing w:after="40"/>
            </w:pPr>
            <w:r>
              <w:rPr>
                <w:sz w:val="16"/>
                <w:szCs w:val="16"/>
              </w:rPr>
              <w:t>✓</w:t>
            </w:r>
          </w:p>
        </w:tc>
        <w:tc>
          <w:tcPr>
            <w:tcW w:w="600" w:type="dxa"/>
          </w:tcPr>
          <w:p w14:paraId="2EA013CE" w14:textId="77777777" w:rsidR="00A2611F" w:rsidRDefault="00000000">
            <w:pPr>
              <w:spacing w:after="40"/>
            </w:pPr>
            <w:r>
              <w:rPr>
                <w:sz w:val="16"/>
                <w:szCs w:val="16"/>
              </w:rPr>
              <w:t>POS</w:t>
            </w:r>
          </w:p>
        </w:tc>
        <w:tc>
          <w:tcPr>
            <w:tcW w:w="2200" w:type="dxa"/>
          </w:tcPr>
          <w:p w14:paraId="4E248C6B" w14:textId="77777777" w:rsidR="00A2611F" w:rsidRDefault="00000000">
            <w:pPr>
              <w:spacing w:after="40"/>
            </w:pPr>
            <w:r>
              <w:rPr>
                <w:sz w:val="16"/>
                <w:szCs w:val="16"/>
              </w:rPr>
              <w:t>% NTB reported with the lookback window disclosed; a shopper's first qualifying transaction in-campaign counts as NTB, the remainder as repeat.</w:t>
            </w:r>
          </w:p>
        </w:tc>
        <w:tc>
          <w:tcPr>
            <w:tcW w:w="2200" w:type="dxa"/>
          </w:tcPr>
          <w:p w14:paraId="6B2BC2C1" w14:textId="77777777" w:rsidR="00A2611F" w:rsidRDefault="00000000">
            <w:pPr>
              <w:spacing w:after="40"/>
            </w:pPr>
            <w:r>
              <w:rPr>
                <w:sz w:val="16"/>
                <w:szCs w:val="16"/>
              </w:rPr>
              <w:t>NTB by environment and tenure tier.</w:t>
            </w:r>
          </w:p>
        </w:tc>
      </w:tr>
      <w:tr w:rsidR="00A2611F" w14:paraId="7282EBAF" w14:textId="77777777">
        <w:tc>
          <w:tcPr>
            <w:tcW w:w="1100" w:type="dxa"/>
          </w:tcPr>
          <w:p w14:paraId="619DFDDE" w14:textId="77777777" w:rsidR="00A2611F" w:rsidRDefault="00000000">
            <w:pPr>
              <w:spacing w:after="40"/>
            </w:pPr>
            <w:r>
              <w:rPr>
                <w:sz w:val="16"/>
                <w:szCs w:val="16"/>
              </w:rPr>
              <w:t>New to Seller</w:t>
            </w:r>
          </w:p>
        </w:tc>
        <w:tc>
          <w:tcPr>
            <w:tcW w:w="3300" w:type="dxa"/>
          </w:tcPr>
          <w:p w14:paraId="0521101C" w14:textId="77777777" w:rsidR="00A2611F" w:rsidRDefault="00000000">
            <w:pPr>
              <w:spacing w:after="40"/>
            </w:pPr>
            <w:r>
              <w:rPr>
                <w:sz w:val="16"/>
                <w:szCs w:val="16"/>
              </w:rPr>
              <w:t>Shopper with no purchase from a specific third-party marketplace seller in a disclosed lookback window; distinct from NTB where a brand sells through multiple sellers on a marketplace.</w:t>
            </w:r>
          </w:p>
        </w:tc>
        <w:tc>
          <w:tcPr>
            <w:tcW w:w="500" w:type="dxa"/>
          </w:tcPr>
          <w:p w14:paraId="6073A935" w14:textId="77777777" w:rsidR="00A2611F" w:rsidRDefault="00000000">
            <w:pPr>
              <w:spacing w:after="40"/>
            </w:pPr>
            <w:r>
              <w:rPr>
                <w:sz w:val="16"/>
                <w:szCs w:val="16"/>
              </w:rPr>
              <w:t>✓</w:t>
            </w:r>
          </w:p>
        </w:tc>
        <w:tc>
          <w:tcPr>
            <w:tcW w:w="500" w:type="dxa"/>
          </w:tcPr>
          <w:p w14:paraId="502F4872" w14:textId="77777777" w:rsidR="00A2611F" w:rsidRDefault="00000000">
            <w:pPr>
              <w:spacing w:after="40"/>
            </w:pPr>
            <w:r>
              <w:rPr>
                <w:sz w:val="16"/>
                <w:szCs w:val="16"/>
              </w:rPr>
              <w:t>–</w:t>
            </w:r>
          </w:p>
        </w:tc>
        <w:tc>
          <w:tcPr>
            <w:tcW w:w="500" w:type="dxa"/>
          </w:tcPr>
          <w:p w14:paraId="40FB105C" w14:textId="77777777" w:rsidR="00A2611F" w:rsidRDefault="00000000">
            <w:pPr>
              <w:spacing w:after="40"/>
            </w:pPr>
            <w:r>
              <w:rPr>
                <w:sz w:val="16"/>
                <w:szCs w:val="16"/>
              </w:rPr>
              <w:t>–</w:t>
            </w:r>
          </w:p>
        </w:tc>
        <w:tc>
          <w:tcPr>
            <w:tcW w:w="600" w:type="dxa"/>
          </w:tcPr>
          <w:p w14:paraId="7AAF762E" w14:textId="77777777" w:rsidR="00A2611F" w:rsidRDefault="00000000">
            <w:pPr>
              <w:spacing w:after="40"/>
            </w:pPr>
            <w:r>
              <w:rPr>
                <w:sz w:val="16"/>
                <w:szCs w:val="16"/>
              </w:rPr>
              <w:t>–</w:t>
            </w:r>
          </w:p>
        </w:tc>
        <w:tc>
          <w:tcPr>
            <w:tcW w:w="2200" w:type="dxa"/>
          </w:tcPr>
          <w:p w14:paraId="3855BDF8" w14:textId="77777777" w:rsidR="00A2611F" w:rsidRDefault="00000000">
            <w:pPr>
              <w:spacing w:after="40"/>
            </w:pPr>
            <w:r>
              <w:rPr>
                <w:sz w:val="16"/>
                <w:szCs w:val="16"/>
              </w:rPr>
              <w:t>% New to Seller reported where a 3P marketplace operates, window disclosed.</w:t>
            </w:r>
          </w:p>
        </w:tc>
        <w:tc>
          <w:tcPr>
            <w:tcW w:w="2200" w:type="dxa"/>
          </w:tcPr>
          <w:p w14:paraId="4C65A54A" w14:textId="77777777" w:rsidR="00A2611F" w:rsidRDefault="00000000">
            <w:pPr>
              <w:spacing w:after="40"/>
            </w:pPr>
            <w:r>
              <w:rPr>
                <w:sz w:val="16"/>
                <w:szCs w:val="16"/>
              </w:rPr>
              <w:t>New to Seller and NTB reconciled and reported together.</w:t>
            </w:r>
          </w:p>
        </w:tc>
      </w:tr>
      <w:tr w:rsidR="00A2611F" w14:paraId="69004C29" w14:textId="77777777">
        <w:tc>
          <w:tcPr>
            <w:tcW w:w="1100" w:type="dxa"/>
          </w:tcPr>
          <w:p w14:paraId="239896AE" w14:textId="77777777" w:rsidR="00A2611F" w:rsidRDefault="00000000">
            <w:pPr>
              <w:spacing w:after="40"/>
            </w:pPr>
            <w:r>
              <w:rPr>
                <w:sz w:val="16"/>
                <w:szCs w:val="16"/>
              </w:rPr>
              <w:t>New to Category (NTC)</w:t>
            </w:r>
          </w:p>
        </w:tc>
        <w:tc>
          <w:tcPr>
            <w:tcW w:w="3300" w:type="dxa"/>
          </w:tcPr>
          <w:p w14:paraId="2FD95FAA" w14:textId="77777777" w:rsidR="00A2611F" w:rsidRDefault="00000000">
            <w:pPr>
              <w:spacing w:after="40"/>
            </w:pPr>
            <w:r>
              <w:rPr>
                <w:sz w:val="16"/>
                <w:szCs w:val="16"/>
              </w:rPr>
              <w:t>Shopper with no category purchase in a disclosed window, tiered to the category's typical purchase cycle.</w:t>
            </w:r>
          </w:p>
        </w:tc>
        <w:tc>
          <w:tcPr>
            <w:tcW w:w="500" w:type="dxa"/>
          </w:tcPr>
          <w:p w14:paraId="4137B70D" w14:textId="77777777" w:rsidR="00A2611F" w:rsidRDefault="00000000">
            <w:pPr>
              <w:spacing w:after="40"/>
            </w:pPr>
            <w:r>
              <w:rPr>
                <w:sz w:val="16"/>
                <w:szCs w:val="16"/>
              </w:rPr>
              <w:t>✓</w:t>
            </w:r>
          </w:p>
        </w:tc>
        <w:tc>
          <w:tcPr>
            <w:tcW w:w="500" w:type="dxa"/>
          </w:tcPr>
          <w:p w14:paraId="117653B4" w14:textId="77777777" w:rsidR="00A2611F" w:rsidRDefault="00000000">
            <w:pPr>
              <w:spacing w:after="40"/>
            </w:pPr>
            <w:r>
              <w:rPr>
                <w:sz w:val="16"/>
                <w:szCs w:val="16"/>
              </w:rPr>
              <w:t>✓</w:t>
            </w:r>
          </w:p>
        </w:tc>
        <w:tc>
          <w:tcPr>
            <w:tcW w:w="500" w:type="dxa"/>
          </w:tcPr>
          <w:p w14:paraId="0375DC0A" w14:textId="77777777" w:rsidR="00A2611F" w:rsidRDefault="00000000">
            <w:pPr>
              <w:spacing w:after="40"/>
            </w:pPr>
            <w:r>
              <w:rPr>
                <w:sz w:val="16"/>
                <w:szCs w:val="16"/>
              </w:rPr>
              <w:t>✓</w:t>
            </w:r>
          </w:p>
        </w:tc>
        <w:tc>
          <w:tcPr>
            <w:tcW w:w="600" w:type="dxa"/>
          </w:tcPr>
          <w:p w14:paraId="5B870F39" w14:textId="77777777" w:rsidR="00A2611F" w:rsidRDefault="00000000">
            <w:pPr>
              <w:spacing w:after="40"/>
            </w:pPr>
            <w:r>
              <w:rPr>
                <w:sz w:val="16"/>
                <w:szCs w:val="16"/>
              </w:rPr>
              <w:t>POS</w:t>
            </w:r>
          </w:p>
        </w:tc>
        <w:tc>
          <w:tcPr>
            <w:tcW w:w="2200" w:type="dxa"/>
          </w:tcPr>
          <w:p w14:paraId="675FE242" w14:textId="77777777" w:rsidR="00A2611F" w:rsidRDefault="00000000">
            <w:pPr>
              <w:spacing w:after="40"/>
            </w:pPr>
            <w:r>
              <w:rPr>
                <w:sz w:val="16"/>
                <w:szCs w:val="16"/>
              </w:rPr>
              <w:t>% NTC with window and purchase-cycle tier disclosed.</w:t>
            </w:r>
          </w:p>
        </w:tc>
        <w:tc>
          <w:tcPr>
            <w:tcW w:w="2200" w:type="dxa"/>
          </w:tcPr>
          <w:p w14:paraId="6477F509" w14:textId="77777777" w:rsidR="00A2611F" w:rsidRDefault="00000000">
            <w:pPr>
              <w:spacing w:after="40"/>
            </w:pPr>
            <w:r>
              <w:rPr>
                <w:sz w:val="16"/>
                <w:szCs w:val="16"/>
              </w:rPr>
              <w:t>Purchase-cycle tiers applied per category.</w:t>
            </w:r>
          </w:p>
        </w:tc>
      </w:tr>
      <w:tr w:rsidR="00A2611F" w14:paraId="1A441B29" w14:textId="77777777">
        <w:tc>
          <w:tcPr>
            <w:tcW w:w="1100" w:type="dxa"/>
          </w:tcPr>
          <w:p w14:paraId="4B769E54" w14:textId="77777777" w:rsidR="00A2611F" w:rsidRDefault="00000000">
            <w:pPr>
              <w:spacing w:after="40"/>
            </w:pPr>
            <w:r>
              <w:rPr>
                <w:sz w:val="16"/>
                <w:szCs w:val="16"/>
              </w:rPr>
              <w:t>Repeat / Loyal Shoppers</w:t>
            </w:r>
          </w:p>
        </w:tc>
        <w:tc>
          <w:tcPr>
            <w:tcW w:w="3300" w:type="dxa"/>
          </w:tcPr>
          <w:p w14:paraId="20A4E9C3" w14:textId="77777777" w:rsidR="00A2611F" w:rsidRDefault="00000000">
            <w:pPr>
              <w:spacing w:after="40"/>
            </w:pPr>
            <w:r>
              <w:rPr>
                <w:sz w:val="16"/>
                <w:szCs w:val="16"/>
              </w:rPr>
              <w:t>Shoppers who purchased in the lookback window and purchased again.</w:t>
            </w:r>
          </w:p>
        </w:tc>
        <w:tc>
          <w:tcPr>
            <w:tcW w:w="500" w:type="dxa"/>
          </w:tcPr>
          <w:p w14:paraId="71A8B13B" w14:textId="77777777" w:rsidR="00A2611F" w:rsidRDefault="00000000">
            <w:pPr>
              <w:spacing w:after="40"/>
            </w:pPr>
            <w:r>
              <w:rPr>
                <w:sz w:val="16"/>
                <w:szCs w:val="16"/>
              </w:rPr>
              <w:t>✓</w:t>
            </w:r>
          </w:p>
        </w:tc>
        <w:tc>
          <w:tcPr>
            <w:tcW w:w="500" w:type="dxa"/>
          </w:tcPr>
          <w:p w14:paraId="6FA42B01" w14:textId="77777777" w:rsidR="00A2611F" w:rsidRDefault="00000000">
            <w:pPr>
              <w:spacing w:after="40"/>
            </w:pPr>
            <w:r>
              <w:rPr>
                <w:sz w:val="16"/>
                <w:szCs w:val="16"/>
              </w:rPr>
              <w:t>✓</w:t>
            </w:r>
          </w:p>
        </w:tc>
        <w:tc>
          <w:tcPr>
            <w:tcW w:w="500" w:type="dxa"/>
          </w:tcPr>
          <w:p w14:paraId="0812A7E6" w14:textId="77777777" w:rsidR="00A2611F" w:rsidRDefault="00000000">
            <w:pPr>
              <w:spacing w:after="40"/>
            </w:pPr>
            <w:r>
              <w:rPr>
                <w:sz w:val="16"/>
                <w:szCs w:val="16"/>
              </w:rPr>
              <w:t>✓</w:t>
            </w:r>
          </w:p>
        </w:tc>
        <w:tc>
          <w:tcPr>
            <w:tcW w:w="600" w:type="dxa"/>
          </w:tcPr>
          <w:p w14:paraId="4EBFD0A3" w14:textId="77777777" w:rsidR="00A2611F" w:rsidRDefault="00000000">
            <w:pPr>
              <w:spacing w:after="40"/>
            </w:pPr>
            <w:r>
              <w:rPr>
                <w:sz w:val="16"/>
                <w:szCs w:val="16"/>
              </w:rPr>
              <w:t>POS</w:t>
            </w:r>
          </w:p>
        </w:tc>
        <w:tc>
          <w:tcPr>
            <w:tcW w:w="2200" w:type="dxa"/>
          </w:tcPr>
          <w:p w14:paraId="2FB3CBE4" w14:textId="77777777" w:rsidR="00A2611F" w:rsidRDefault="00000000">
            <w:pPr>
              <w:spacing w:after="40"/>
            </w:pPr>
            <w:r>
              <w:rPr>
                <w:sz w:val="16"/>
                <w:szCs w:val="16"/>
              </w:rPr>
              <w:t>Repeat rate reported with the window disclosed, split by brand and category.</w:t>
            </w:r>
          </w:p>
        </w:tc>
        <w:tc>
          <w:tcPr>
            <w:tcW w:w="2200" w:type="dxa"/>
          </w:tcPr>
          <w:p w14:paraId="1FA1B908" w14:textId="77777777" w:rsidR="00A2611F" w:rsidRDefault="00000000">
            <w:pPr>
              <w:spacing w:after="40"/>
            </w:pPr>
            <w:r>
              <w:rPr>
                <w:sz w:val="16"/>
                <w:szCs w:val="16"/>
              </w:rPr>
              <w:t>Loyalty-status shift tracked over time.</w:t>
            </w:r>
          </w:p>
        </w:tc>
      </w:tr>
      <w:tr w:rsidR="00A2611F" w14:paraId="0EC75DFA" w14:textId="77777777">
        <w:tc>
          <w:tcPr>
            <w:tcW w:w="1100" w:type="dxa"/>
          </w:tcPr>
          <w:p w14:paraId="41D2B0A9" w14:textId="77777777" w:rsidR="00A2611F" w:rsidRDefault="00000000">
            <w:pPr>
              <w:spacing w:after="40"/>
            </w:pPr>
            <w:r>
              <w:rPr>
                <w:sz w:val="16"/>
                <w:szCs w:val="16"/>
              </w:rPr>
              <w:t>Purchase Frequency</w:t>
            </w:r>
          </w:p>
        </w:tc>
        <w:tc>
          <w:tcPr>
            <w:tcW w:w="3300" w:type="dxa"/>
          </w:tcPr>
          <w:p w14:paraId="4AD02926" w14:textId="77777777" w:rsidR="00A2611F" w:rsidRDefault="00000000">
            <w:pPr>
              <w:spacing w:after="40"/>
            </w:pPr>
            <w:r>
              <w:rPr>
                <w:sz w:val="16"/>
                <w:szCs w:val="16"/>
              </w:rPr>
              <w:t>Average purchase occasions per loyalty-linked shopper.</w:t>
            </w:r>
          </w:p>
        </w:tc>
        <w:tc>
          <w:tcPr>
            <w:tcW w:w="500" w:type="dxa"/>
          </w:tcPr>
          <w:p w14:paraId="2EC763E8" w14:textId="77777777" w:rsidR="00A2611F" w:rsidRDefault="00000000">
            <w:pPr>
              <w:spacing w:after="40"/>
            </w:pPr>
            <w:r>
              <w:rPr>
                <w:sz w:val="16"/>
                <w:szCs w:val="16"/>
              </w:rPr>
              <w:t>✓</w:t>
            </w:r>
          </w:p>
        </w:tc>
        <w:tc>
          <w:tcPr>
            <w:tcW w:w="500" w:type="dxa"/>
          </w:tcPr>
          <w:p w14:paraId="3250919A" w14:textId="77777777" w:rsidR="00A2611F" w:rsidRDefault="00000000">
            <w:pPr>
              <w:spacing w:after="40"/>
            </w:pPr>
            <w:r>
              <w:rPr>
                <w:sz w:val="16"/>
                <w:szCs w:val="16"/>
              </w:rPr>
              <w:t>–</w:t>
            </w:r>
          </w:p>
        </w:tc>
        <w:tc>
          <w:tcPr>
            <w:tcW w:w="500" w:type="dxa"/>
          </w:tcPr>
          <w:p w14:paraId="57EE7E03" w14:textId="77777777" w:rsidR="00A2611F" w:rsidRDefault="00000000">
            <w:pPr>
              <w:spacing w:after="40"/>
            </w:pPr>
            <w:r>
              <w:rPr>
                <w:sz w:val="16"/>
                <w:szCs w:val="16"/>
              </w:rPr>
              <w:t>✓</w:t>
            </w:r>
          </w:p>
        </w:tc>
        <w:tc>
          <w:tcPr>
            <w:tcW w:w="600" w:type="dxa"/>
          </w:tcPr>
          <w:p w14:paraId="7365145A" w14:textId="77777777" w:rsidR="00A2611F" w:rsidRDefault="00000000">
            <w:pPr>
              <w:spacing w:after="40"/>
            </w:pPr>
            <w:r>
              <w:rPr>
                <w:sz w:val="16"/>
                <w:szCs w:val="16"/>
              </w:rPr>
              <w:t>POS</w:t>
            </w:r>
          </w:p>
        </w:tc>
        <w:tc>
          <w:tcPr>
            <w:tcW w:w="2200" w:type="dxa"/>
          </w:tcPr>
          <w:p w14:paraId="07CAA3AE" w14:textId="77777777" w:rsidR="00A2611F" w:rsidRDefault="00000000">
            <w:pPr>
              <w:spacing w:after="40"/>
            </w:pPr>
            <w:r>
              <w:rPr>
                <w:sz w:val="16"/>
                <w:szCs w:val="16"/>
              </w:rPr>
              <w:t>Purchase frequency reported by segment, with the window disclosed.</w:t>
            </w:r>
          </w:p>
        </w:tc>
        <w:tc>
          <w:tcPr>
            <w:tcW w:w="2200" w:type="dxa"/>
          </w:tcPr>
          <w:p w14:paraId="03F5FBBE" w14:textId="77777777" w:rsidR="00A2611F" w:rsidRDefault="00000000">
            <w:pPr>
              <w:spacing w:after="40"/>
            </w:pPr>
            <w:r>
              <w:rPr>
                <w:sz w:val="16"/>
                <w:szCs w:val="16"/>
              </w:rPr>
              <w:t>Frequency uplift vs control.</w:t>
            </w:r>
          </w:p>
        </w:tc>
      </w:tr>
      <w:tr w:rsidR="00A2611F" w14:paraId="6334F7D4" w14:textId="77777777">
        <w:tc>
          <w:tcPr>
            <w:tcW w:w="1100" w:type="dxa"/>
          </w:tcPr>
          <w:p w14:paraId="116CEAE8" w14:textId="77777777" w:rsidR="00A2611F" w:rsidRDefault="00000000">
            <w:pPr>
              <w:spacing w:after="40"/>
            </w:pPr>
            <w:r>
              <w:rPr>
                <w:sz w:val="16"/>
                <w:szCs w:val="16"/>
              </w:rPr>
              <w:t>Upsell / Cross-Sell</w:t>
            </w:r>
          </w:p>
        </w:tc>
        <w:tc>
          <w:tcPr>
            <w:tcW w:w="3300" w:type="dxa"/>
          </w:tcPr>
          <w:p w14:paraId="1A7C8AC5" w14:textId="77777777" w:rsidR="00A2611F" w:rsidRDefault="00000000">
            <w:pPr>
              <w:spacing w:after="40"/>
            </w:pPr>
            <w:r>
              <w:rPr>
                <w:sz w:val="16"/>
                <w:szCs w:val="16"/>
              </w:rPr>
              <w:t>Move to a higher-priced product from the same brand (upsell), or to a different but related product — including related products from the same advertiser across categories (cross-sell).</w:t>
            </w:r>
          </w:p>
        </w:tc>
        <w:tc>
          <w:tcPr>
            <w:tcW w:w="500" w:type="dxa"/>
          </w:tcPr>
          <w:p w14:paraId="36E45BCB" w14:textId="77777777" w:rsidR="00A2611F" w:rsidRDefault="00000000">
            <w:pPr>
              <w:spacing w:after="40"/>
            </w:pPr>
            <w:r>
              <w:rPr>
                <w:sz w:val="16"/>
                <w:szCs w:val="16"/>
              </w:rPr>
              <w:t>✓</w:t>
            </w:r>
          </w:p>
        </w:tc>
        <w:tc>
          <w:tcPr>
            <w:tcW w:w="500" w:type="dxa"/>
          </w:tcPr>
          <w:p w14:paraId="71A2455F" w14:textId="77777777" w:rsidR="00A2611F" w:rsidRDefault="00000000">
            <w:pPr>
              <w:spacing w:after="40"/>
            </w:pPr>
            <w:r>
              <w:rPr>
                <w:sz w:val="16"/>
                <w:szCs w:val="16"/>
              </w:rPr>
              <w:t>✓</w:t>
            </w:r>
          </w:p>
        </w:tc>
        <w:tc>
          <w:tcPr>
            <w:tcW w:w="500" w:type="dxa"/>
          </w:tcPr>
          <w:p w14:paraId="794C4A6A" w14:textId="77777777" w:rsidR="00A2611F" w:rsidRDefault="00000000">
            <w:pPr>
              <w:spacing w:after="40"/>
            </w:pPr>
            <w:r>
              <w:rPr>
                <w:sz w:val="16"/>
                <w:szCs w:val="16"/>
              </w:rPr>
              <w:t>✓</w:t>
            </w:r>
          </w:p>
        </w:tc>
        <w:tc>
          <w:tcPr>
            <w:tcW w:w="600" w:type="dxa"/>
          </w:tcPr>
          <w:p w14:paraId="7ECFBCEA" w14:textId="77777777" w:rsidR="00A2611F" w:rsidRDefault="00000000">
            <w:pPr>
              <w:spacing w:after="40"/>
            </w:pPr>
            <w:r>
              <w:rPr>
                <w:sz w:val="16"/>
                <w:szCs w:val="16"/>
              </w:rPr>
              <w:t>POS</w:t>
            </w:r>
          </w:p>
        </w:tc>
        <w:tc>
          <w:tcPr>
            <w:tcW w:w="2200" w:type="dxa"/>
          </w:tcPr>
          <w:p w14:paraId="028F5951" w14:textId="77777777" w:rsidR="00A2611F" w:rsidRDefault="00000000">
            <w:pPr>
              <w:spacing w:after="40"/>
            </w:pPr>
            <w:r>
              <w:rPr>
                <w:sz w:val="16"/>
                <w:szCs w:val="16"/>
              </w:rPr>
              <w:t>Reported where it is a stated campaign objective, with the price-point/product logic disclosed, including cross-category pairs.</w:t>
            </w:r>
          </w:p>
        </w:tc>
        <w:tc>
          <w:tcPr>
            <w:tcW w:w="2200" w:type="dxa"/>
          </w:tcPr>
          <w:p w14:paraId="50623917" w14:textId="77777777" w:rsidR="00A2611F" w:rsidRDefault="00000000">
            <w:pPr>
              <w:spacing w:after="40"/>
            </w:pPr>
            <w:r>
              <w:rPr>
                <w:sz w:val="16"/>
                <w:szCs w:val="16"/>
              </w:rPr>
              <w:t>Modelled value of the shift.</w:t>
            </w:r>
          </w:p>
        </w:tc>
      </w:tr>
    </w:tbl>
    <w:p w14:paraId="02147402" w14:textId="77777777" w:rsidR="00A2611F" w:rsidRDefault="00000000">
      <w:pPr>
        <w:spacing w:before="100" w:after="220"/>
      </w:pPr>
      <w:r>
        <w:rPr>
          <w:i/>
          <w:iCs/>
          <w:color w:val="444444"/>
          <w:sz w:val="18"/>
          <w:szCs w:val="18"/>
        </w:rPr>
        <w:t>All lookback windows must be disclosed. In a single campaign, a shopper's first qualifying transaction counts as NTB (or New to Seller) and the remainder as repeat. New to Seller is the marketplace analogue of NTB and applies only where a retailer operates a third-party marketplace with distinct sellers (§2.2).</w:t>
      </w:r>
    </w:p>
    <w:p w14:paraId="65B32B18" w14:textId="77777777" w:rsidR="00A2611F" w:rsidRDefault="00000000">
      <w:pPr>
        <w:pStyle w:val="Heading3"/>
      </w:pPr>
      <w:r>
        <w:t>2.3.1 Shopper Intelligence</w:t>
      </w:r>
    </w:p>
    <w:p w14:paraId="258924AB" w14:textId="77777777" w:rsidR="00A2611F" w:rsidRDefault="00000000">
      <w:pPr>
        <w:spacing w:after="160" w:line="276" w:lineRule="auto"/>
        <w:jc w:val="both"/>
      </w:pPr>
      <w:r>
        <w:t>Shopper Intelligence sits within Customer Insights rather than inside Section 3. It covers descriptive analysis of shopper behaviour, path-to-purchase, basket affinities, and segment-level insight generated from a retail media campaign. It is diagnostic and directional by nature — it describes what happened and to whom — which distinguishes it from Section 3, where every method is required to speak to what the campaign caused. Keeping the two apart keeps Section 3 focused on causal measurement and stops a descriptive shopper report from being read, even informally, as evidence of incrementality.</w:t>
      </w:r>
    </w:p>
    <w:tbl>
      <w:tblPr>
        <w:tblW w:w="10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3300"/>
        <w:gridCol w:w="500"/>
        <w:gridCol w:w="500"/>
        <w:gridCol w:w="500"/>
        <w:gridCol w:w="600"/>
        <w:gridCol w:w="2200"/>
        <w:gridCol w:w="2200"/>
      </w:tblGrid>
      <w:tr w:rsidR="00A2611F" w14:paraId="173610AA" w14:textId="77777777">
        <w:trPr>
          <w:tblHeader/>
        </w:trPr>
        <w:tc>
          <w:tcPr>
            <w:tcW w:w="1100" w:type="dxa"/>
            <w:shd w:val="clear" w:color="auto" w:fill="D9D9D9"/>
            <w:vAlign w:val="center"/>
          </w:tcPr>
          <w:p w14:paraId="195082A6" w14:textId="77777777" w:rsidR="00A2611F" w:rsidRDefault="00000000">
            <w:r>
              <w:rPr>
                <w:b/>
                <w:bCs/>
                <w:sz w:val="16"/>
                <w:szCs w:val="16"/>
              </w:rPr>
              <w:t>Metric</w:t>
            </w:r>
          </w:p>
        </w:tc>
        <w:tc>
          <w:tcPr>
            <w:tcW w:w="3300" w:type="dxa"/>
            <w:shd w:val="clear" w:color="auto" w:fill="D9D9D9"/>
            <w:vAlign w:val="center"/>
          </w:tcPr>
          <w:p w14:paraId="40B0DB91" w14:textId="77777777" w:rsidR="00A2611F" w:rsidRDefault="00000000">
            <w:r>
              <w:rPr>
                <w:b/>
                <w:bCs/>
                <w:sz w:val="16"/>
                <w:szCs w:val="16"/>
              </w:rPr>
              <w:t>Definition</w:t>
            </w:r>
          </w:p>
        </w:tc>
        <w:tc>
          <w:tcPr>
            <w:tcW w:w="500" w:type="dxa"/>
            <w:shd w:val="clear" w:color="auto" w:fill="D9D9D9"/>
            <w:vAlign w:val="center"/>
          </w:tcPr>
          <w:p w14:paraId="5BE42B88" w14:textId="77777777" w:rsidR="00A2611F" w:rsidRDefault="00000000">
            <w:r>
              <w:rPr>
                <w:b/>
                <w:bCs/>
                <w:sz w:val="16"/>
                <w:szCs w:val="16"/>
              </w:rPr>
              <w:t>On</w:t>
            </w:r>
          </w:p>
        </w:tc>
        <w:tc>
          <w:tcPr>
            <w:tcW w:w="500" w:type="dxa"/>
            <w:shd w:val="clear" w:color="auto" w:fill="D9D9D9"/>
            <w:vAlign w:val="center"/>
          </w:tcPr>
          <w:p w14:paraId="5B66E2C9" w14:textId="77777777" w:rsidR="00A2611F" w:rsidRDefault="00000000">
            <w:r>
              <w:rPr>
                <w:b/>
                <w:bCs/>
                <w:sz w:val="16"/>
                <w:szCs w:val="16"/>
              </w:rPr>
              <w:t>Off</w:t>
            </w:r>
          </w:p>
        </w:tc>
        <w:tc>
          <w:tcPr>
            <w:tcW w:w="500" w:type="dxa"/>
            <w:shd w:val="clear" w:color="auto" w:fill="D9D9D9"/>
            <w:vAlign w:val="center"/>
          </w:tcPr>
          <w:p w14:paraId="151725D1" w14:textId="77777777" w:rsidR="00A2611F" w:rsidRDefault="00000000">
            <w:r>
              <w:rPr>
                <w:b/>
                <w:bCs/>
                <w:sz w:val="16"/>
                <w:szCs w:val="16"/>
              </w:rPr>
              <w:t>DM</w:t>
            </w:r>
          </w:p>
        </w:tc>
        <w:tc>
          <w:tcPr>
            <w:tcW w:w="600" w:type="dxa"/>
            <w:shd w:val="clear" w:color="auto" w:fill="D9D9D9"/>
            <w:vAlign w:val="center"/>
          </w:tcPr>
          <w:p w14:paraId="341292E0" w14:textId="77777777" w:rsidR="00A2611F" w:rsidRDefault="00000000">
            <w:r>
              <w:rPr>
                <w:b/>
                <w:bCs/>
                <w:sz w:val="16"/>
                <w:szCs w:val="16"/>
              </w:rPr>
              <w:t>In</w:t>
            </w:r>
          </w:p>
        </w:tc>
        <w:tc>
          <w:tcPr>
            <w:tcW w:w="2200" w:type="dxa"/>
            <w:shd w:val="clear" w:color="auto" w:fill="D9D9D9"/>
            <w:vAlign w:val="center"/>
          </w:tcPr>
          <w:p w14:paraId="47996DF2" w14:textId="77777777" w:rsidR="00A2611F" w:rsidRDefault="00000000">
            <w:r>
              <w:rPr>
                <w:b/>
                <w:bCs/>
                <w:sz w:val="16"/>
                <w:szCs w:val="16"/>
              </w:rPr>
              <w:t>Standard</w:t>
            </w:r>
          </w:p>
        </w:tc>
        <w:tc>
          <w:tcPr>
            <w:tcW w:w="2200" w:type="dxa"/>
            <w:shd w:val="clear" w:color="auto" w:fill="D9D9D9"/>
            <w:vAlign w:val="center"/>
          </w:tcPr>
          <w:p w14:paraId="641BBD32" w14:textId="77777777" w:rsidR="00A2611F" w:rsidRDefault="00000000">
            <w:r>
              <w:rPr>
                <w:b/>
                <w:bCs/>
                <w:sz w:val="16"/>
                <w:szCs w:val="16"/>
              </w:rPr>
              <w:t>Advanced</w:t>
            </w:r>
          </w:p>
        </w:tc>
      </w:tr>
      <w:tr w:rsidR="00A2611F" w14:paraId="629EA9BA" w14:textId="77777777">
        <w:tc>
          <w:tcPr>
            <w:tcW w:w="1100" w:type="dxa"/>
          </w:tcPr>
          <w:p w14:paraId="102A1A02" w14:textId="77777777" w:rsidR="00A2611F" w:rsidRDefault="00000000">
            <w:pPr>
              <w:spacing w:after="40"/>
            </w:pPr>
            <w:r>
              <w:rPr>
                <w:sz w:val="16"/>
                <w:szCs w:val="16"/>
              </w:rPr>
              <w:t>Shopper Intelligence Summary</w:t>
            </w:r>
          </w:p>
        </w:tc>
        <w:tc>
          <w:tcPr>
            <w:tcW w:w="3300" w:type="dxa"/>
          </w:tcPr>
          <w:p w14:paraId="3A3486CF" w14:textId="77777777" w:rsidR="00A2611F" w:rsidRDefault="00000000">
            <w:pPr>
              <w:spacing w:after="40"/>
            </w:pPr>
            <w:r>
              <w:rPr>
                <w:sz w:val="16"/>
                <w:szCs w:val="16"/>
              </w:rPr>
              <w:t>Post-campaign descriptive summary of who bought, what else they bought, and when, drawn from the campaign's attributed transactions.</w:t>
            </w:r>
          </w:p>
        </w:tc>
        <w:tc>
          <w:tcPr>
            <w:tcW w:w="500" w:type="dxa"/>
          </w:tcPr>
          <w:p w14:paraId="0C248300" w14:textId="77777777" w:rsidR="00A2611F" w:rsidRDefault="00000000">
            <w:pPr>
              <w:spacing w:after="40"/>
            </w:pPr>
            <w:r>
              <w:rPr>
                <w:sz w:val="16"/>
                <w:szCs w:val="16"/>
              </w:rPr>
              <w:t>✓</w:t>
            </w:r>
          </w:p>
        </w:tc>
        <w:tc>
          <w:tcPr>
            <w:tcW w:w="500" w:type="dxa"/>
          </w:tcPr>
          <w:p w14:paraId="6FC25BA2" w14:textId="77777777" w:rsidR="00A2611F" w:rsidRDefault="00000000">
            <w:pPr>
              <w:spacing w:after="40"/>
            </w:pPr>
            <w:r>
              <w:rPr>
                <w:sz w:val="16"/>
                <w:szCs w:val="16"/>
              </w:rPr>
              <w:t>✓</w:t>
            </w:r>
          </w:p>
        </w:tc>
        <w:tc>
          <w:tcPr>
            <w:tcW w:w="500" w:type="dxa"/>
          </w:tcPr>
          <w:p w14:paraId="0E423E61" w14:textId="77777777" w:rsidR="00A2611F" w:rsidRDefault="00000000">
            <w:pPr>
              <w:spacing w:after="40"/>
            </w:pPr>
            <w:r>
              <w:rPr>
                <w:sz w:val="16"/>
                <w:szCs w:val="16"/>
              </w:rPr>
              <w:t>✓</w:t>
            </w:r>
          </w:p>
        </w:tc>
        <w:tc>
          <w:tcPr>
            <w:tcW w:w="600" w:type="dxa"/>
          </w:tcPr>
          <w:p w14:paraId="1E5FD1B4" w14:textId="77777777" w:rsidR="00A2611F" w:rsidRDefault="00000000">
            <w:pPr>
              <w:spacing w:after="40"/>
            </w:pPr>
            <w:r>
              <w:rPr>
                <w:sz w:val="16"/>
                <w:szCs w:val="16"/>
              </w:rPr>
              <w:t>POS</w:t>
            </w:r>
          </w:p>
        </w:tc>
        <w:tc>
          <w:tcPr>
            <w:tcW w:w="2200" w:type="dxa"/>
          </w:tcPr>
          <w:p w14:paraId="5CFC9E49" w14:textId="77777777" w:rsidR="00A2611F" w:rsidRDefault="00000000">
            <w:pPr>
              <w:spacing w:after="40"/>
            </w:pPr>
            <w:r>
              <w:rPr>
                <w:sz w:val="16"/>
                <w:szCs w:val="16"/>
              </w:rPr>
              <w:t>Post-campaign descriptive summary provided, with segment-level insight tied to the campaign's target audience and benchmarked against category norms.</w:t>
            </w:r>
          </w:p>
        </w:tc>
        <w:tc>
          <w:tcPr>
            <w:tcW w:w="2200" w:type="dxa"/>
          </w:tcPr>
          <w:p w14:paraId="625143B0" w14:textId="77777777" w:rsidR="00A2611F" w:rsidRDefault="00000000">
            <w:pPr>
              <w:spacing w:after="40"/>
            </w:pPr>
            <w:r>
              <w:rPr>
                <w:sz w:val="16"/>
                <w:szCs w:val="16"/>
              </w:rPr>
              <w:t>Predictive or prescriptive insight — propensity modelling, look-alike expansion — informed by campaign results.</w:t>
            </w:r>
          </w:p>
        </w:tc>
      </w:tr>
    </w:tbl>
    <w:p w14:paraId="7BE228E5" w14:textId="77777777" w:rsidR="00A2611F" w:rsidRDefault="00000000">
      <w:r>
        <w:br w:type="page"/>
      </w:r>
    </w:p>
    <w:p w14:paraId="2E47E1B6" w14:textId="77777777" w:rsidR="00A2611F" w:rsidRDefault="00000000">
      <w:pPr>
        <w:pStyle w:val="Heading2"/>
      </w:pPr>
      <w:r>
        <w:lastRenderedPageBreak/>
        <w:t>2.4 Direct Marketing</w:t>
      </w:r>
    </w:p>
    <w:p w14:paraId="16AADB29" w14:textId="77777777" w:rsidR="00A2611F" w:rsidRDefault="00000000">
      <w:pPr>
        <w:spacing w:after="160" w:line="276" w:lineRule="auto"/>
        <w:jc w:val="both"/>
      </w:pPr>
      <w:r>
        <w:t>Direct marketing — owned email, SMS, WhatsApp, and other in-app or push messaging — is a distinct environment with its own delivery metrics, built to the same tiered standard. The lifecycle segment (lapsed / loyal / new) is the measurement primitive, and consent basis under POPIA is a disclosure requirement, not an optional note.</w:t>
      </w:r>
    </w:p>
    <w:p w14:paraId="33A677C8" w14:textId="77777777" w:rsidR="00A2611F" w:rsidRDefault="00000000">
      <w:pPr>
        <w:spacing w:after="160" w:line="276" w:lineRule="auto"/>
        <w:jc w:val="both"/>
      </w:pPr>
      <w:r>
        <w:t>WhatsApp named explicitly. Given its penetration and use as a commerce channel in the South African market, WhatsApp must be reported as its own labelled channel at Standard tier and above, distinct from generic in-app push notifications rather than folded into an undifferentiated “push” category.</w:t>
      </w:r>
    </w:p>
    <w:tbl>
      <w:tblPr>
        <w:tblW w:w="10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3300"/>
        <w:gridCol w:w="500"/>
        <w:gridCol w:w="500"/>
        <w:gridCol w:w="500"/>
        <w:gridCol w:w="600"/>
        <w:gridCol w:w="2200"/>
        <w:gridCol w:w="2200"/>
      </w:tblGrid>
      <w:tr w:rsidR="00A2611F" w14:paraId="03687262" w14:textId="77777777">
        <w:trPr>
          <w:tblHeader/>
        </w:trPr>
        <w:tc>
          <w:tcPr>
            <w:tcW w:w="1100" w:type="dxa"/>
            <w:shd w:val="clear" w:color="auto" w:fill="D9D9D9"/>
            <w:vAlign w:val="center"/>
          </w:tcPr>
          <w:p w14:paraId="144DFCDD" w14:textId="77777777" w:rsidR="00A2611F" w:rsidRDefault="00000000">
            <w:r>
              <w:rPr>
                <w:b/>
                <w:bCs/>
                <w:sz w:val="16"/>
                <w:szCs w:val="16"/>
              </w:rPr>
              <w:t>Metric</w:t>
            </w:r>
          </w:p>
        </w:tc>
        <w:tc>
          <w:tcPr>
            <w:tcW w:w="3300" w:type="dxa"/>
            <w:shd w:val="clear" w:color="auto" w:fill="D9D9D9"/>
            <w:vAlign w:val="center"/>
          </w:tcPr>
          <w:p w14:paraId="0EEA6F86" w14:textId="77777777" w:rsidR="00A2611F" w:rsidRDefault="00000000">
            <w:r>
              <w:rPr>
                <w:b/>
                <w:bCs/>
                <w:sz w:val="16"/>
                <w:szCs w:val="16"/>
              </w:rPr>
              <w:t>Definition</w:t>
            </w:r>
          </w:p>
        </w:tc>
        <w:tc>
          <w:tcPr>
            <w:tcW w:w="500" w:type="dxa"/>
            <w:shd w:val="clear" w:color="auto" w:fill="D9D9D9"/>
            <w:vAlign w:val="center"/>
          </w:tcPr>
          <w:p w14:paraId="52C514DC" w14:textId="77777777" w:rsidR="00A2611F" w:rsidRDefault="00000000">
            <w:r>
              <w:rPr>
                <w:b/>
                <w:bCs/>
                <w:sz w:val="16"/>
                <w:szCs w:val="16"/>
              </w:rPr>
              <w:t>On</w:t>
            </w:r>
          </w:p>
        </w:tc>
        <w:tc>
          <w:tcPr>
            <w:tcW w:w="500" w:type="dxa"/>
            <w:shd w:val="clear" w:color="auto" w:fill="D9D9D9"/>
            <w:vAlign w:val="center"/>
          </w:tcPr>
          <w:p w14:paraId="6DBE2A10" w14:textId="77777777" w:rsidR="00A2611F" w:rsidRDefault="00000000">
            <w:r>
              <w:rPr>
                <w:b/>
                <w:bCs/>
                <w:sz w:val="16"/>
                <w:szCs w:val="16"/>
              </w:rPr>
              <w:t>Off</w:t>
            </w:r>
          </w:p>
        </w:tc>
        <w:tc>
          <w:tcPr>
            <w:tcW w:w="500" w:type="dxa"/>
            <w:shd w:val="clear" w:color="auto" w:fill="D9D9D9"/>
            <w:vAlign w:val="center"/>
          </w:tcPr>
          <w:p w14:paraId="3360A877" w14:textId="77777777" w:rsidR="00A2611F" w:rsidRDefault="00000000">
            <w:r>
              <w:rPr>
                <w:b/>
                <w:bCs/>
                <w:sz w:val="16"/>
                <w:szCs w:val="16"/>
              </w:rPr>
              <w:t>DM</w:t>
            </w:r>
          </w:p>
        </w:tc>
        <w:tc>
          <w:tcPr>
            <w:tcW w:w="600" w:type="dxa"/>
            <w:shd w:val="clear" w:color="auto" w:fill="D9D9D9"/>
            <w:vAlign w:val="center"/>
          </w:tcPr>
          <w:p w14:paraId="1E2BB26D" w14:textId="77777777" w:rsidR="00A2611F" w:rsidRDefault="00000000">
            <w:r>
              <w:rPr>
                <w:b/>
                <w:bCs/>
                <w:sz w:val="16"/>
                <w:szCs w:val="16"/>
              </w:rPr>
              <w:t>In</w:t>
            </w:r>
          </w:p>
        </w:tc>
        <w:tc>
          <w:tcPr>
            <w:tcW w:w="2200" w:type="dxa"/>
            <w:shd w:val="clear" w:color="auto" w:fill="D9D9D9"/>
            <w:vAlign w:val="center"/>
          </w:tcPr>
          <w:p w14:paraId="0D68C73C" w14:textId="77777777" w:rsidR="00A2611F" w:rsidRDefault="00000000">
            <w:r>
              <w:rPr>
                <w:b/>
                <w:bCs/>
                <w:sz w:val="16"/>
                <w:szCs w:val="16"/>
              </w:rPr>
              <w:t>Standard</w:t>
            </w:r>
          </w:p>
        </w:tc>
        <w:tc>
          <w:tcPr>
            <w:tcW w:w="2200" w:type="dxa"/>
            <w:shd w:val="clear" w:color="auto" w:fill="D9D9D9"/>
            <w:vAlign w:val="center"/>
          </w:tcPr>
          <w:p w14:paraId="07AFEECA" w14:textId="77777777" w:rsidR="00A2611F" w:rsidRDefault="00000000">
            <w:r>
              <w:rPr>
                <w:b/>
                <w:bCs/>
                <w:sz w:val="16"/>
                <w:szCs w:val="16"/>
              </w:rPr>
              <w:t>Advanced</w:t>
            </w:r>
          </w:p>
        </w:tc>
      </w:tr>
      <w:tr w:rsidR="00A2611F" w14:paraId="53BDA071" w14:textId="77777777">
        <w:tc>
          <w:tcPr>
            <w:tcW w:w="1100" w:type="dxa"/>
          </w:tcPr>
          <w:p w14:paraId="58F8D984" w14:textId="77777777" w:rsidR="00A2611F" w:rsidRDefault="00000000">
            <w:pPr>
              <w:spacing w:after="40"/>
            </w:pPr>
            <w:r>
              <w:rPr>
                <w:sz w:val="16"/>
                <w:szCs w:val="16"/>
              </w:rPr>
              <w:t>Sends / Delivery Rate</w:t>
            </w:r>
          </w:p>
        </w:tc>
        <w:tc>
          <w:tcPr>
            <w:tcW w:w="3300" w:type="dxa"/>
          </w:tcPr>
          <w:p w14:paraId="5DBD7478" w14:textId="77777777" w:rsidR="00A2611F" w:rsidRDefault="00000000">
            <w:pPr>
              <w:spacing w:after="40"/>
            </w:pPr>
            <w:r>
              <w:rPr>
                <w:sz w:val="16"/>
                <w:szCs w:val="16"/>
              </w:rPr>
              <w:t>Messages sent; delivered ÷ sent, by channel (email, SMS, WhatsApp, other push).</w:t>
            </w:r>
          </w:p>
        </w:tc>
        <w:tc>
          <w:tcPr>
            <w:tcW w:w="500" w:type="dxa"/>
          </w:tcPr>
          <w:p w14:paraId="4829FF6D" w14:textId="77777777" w:rsidR="00A2611F" w:rsidRDefault="00000000">
            <w:pPr>
              <w:spacing w:after="40"/>
            </w:pPr>
            <w:r>
              <w:rPr>
                <w:sz w:val="16"/>
                <w:szCs w:val="16"/>
              </w:rPr>
              <w:t>–</w:t>
            </w:r>
          </w:p>
        </w:tc>
        <w:tc>
          <w:tcPr>
            <w:tcW w:w="500" w:type="dxa"/>
          </w:tcPr>
          <w:p w14:paraId="0E38DEA7" w14:textId="77777777" w:rsidR="00A2611F" w:rsidRDefault="00000000">
            <w:pPr>
              <w:spacing w:after="40"/>
            </w:pPr>
            <w:r>
              <w:rPr>
                <w:sz w:val="16"/>
                <w:szCs w:val="16"/>
              </w:rPr>
              <w:t>–</w:t>
            </w:r>
          </w:p>
        </w:tc>
        <w:tc>
          <w:tcPr>
            <w:tcW w:w="500" w:type="dxa"/>
          </w:tcPr>
          <w:p w14:paraId="36C26F48" w14:textId="77777777" w:rsidR="00A2611F" w:rsidRDefault="00000000">
            <w:pPr>
              <w:spacing w:after="40"/>
            </w:pPr>
            <w:r>
              <w:rPr>
                <w:sz w:val="16"/>
                <w:szCs w:val="16"/>
              </w:rPr>
              <w:t>✓</w:t>
            </w:r>
          </w:p>
        </w:tc>
        <w:tc>
          <w:tcPr>
            <w:tcW w:w="600" w:type="dxa"/>
          </w:tcPr>
          <w:p w14:paraId="5C33E2FD" w14:textId="77777777" w:rsidR="00A2611F" w:rsidRDefault="00000000">
            <w:pPr>
              <w:spacing w:after="40"/>
            </w:pPr>
            <w:r>
              <w:rPr>
                <w:sz w:val="16"/>
                <w:szCs w:val="16"/>
              </w:rPr>
              <w:t>–</w:t>
            </w:r>
          </w:p>
        </w:tc>
        <w:tc>
          <w:tcPr>
            <w:tcW w:w="2200" w:type="dxa"/>
          </w:tcPr>
          <w:p w14:paraId="4D97E8D7" w14:textId="77777777" w:rsidR="00A2611F" w:rsidRDefault="00000000">
            <w:pPr>
              <w:spacing w:after="40"/>
            </w:pPr>
            <w:r>
              <w:rPr>
                <w:sz w:val="16"/>
                <w:szCs w:val="16"/>
              </w:rPr>
              <w:t>Sends and delivery rate reported by campaign, segment, and channel, with WhatsApp reported separately.</w:t>
            </w:r>
          </w:p>
        </w:tc>
        <w:tc>
          <w:tcPr>
            <w:tcW w:w="2200" w:type="dxa"/>
          </w:tcPr>
          <w:p w14:paraId="57CC4D48" w14:textId="77777777" w:rsidR="00A2611F" w:rsidRDefault="00000000">
            <w:pPr>
              <w:spacing w:after="40"/>
            </w:pPr>
            <w:r>
              <w:rPr>
                <w:sz w:val="16"/>
                <w:szCs w:val="16"/>
              </w:rPr>
              <w:t>Bounce and suppression reconciled.</w:t>
            </w:r>
          </w:p>
        </w:tc>
      </w:tr>
      <w:tr w:rsidR="00A2611F" w14:paraId="7648C469" w14:textId="77777777">
        <w:tc>
          <w:tcPr>
            <w:tcW w:w="1100" w:type="dxa"/>
          </w:tcPr>
          <w:p w14:paraId="2CC0EE5C" w14:textId="77777777" w:rsidR="00A2611F" w:rsidRDefault="00000000">
            <w:pPr>
              <w:spacing w:after="40"/>
            </w:pPr>
            <w:r>
              <w:rPr>
                <w:sz w:val="16"/>
                <w:szCs w:val="16"/>
              </w:rPr>
              <w:t>Open Rate</w:t>
            </w:r>
          </w:p>
        </w:tc>
        <w:tc>
          <w:tcPr>
            <w:tcW w:w="3300" w:type="dxa"/>
          </w:tcPr>
          <w:p w14:paraId="00851B10" w14:textId="77777777" w:rsidR="00A2611F" w:rsidRDefault="00000000">
            <w:pPr>
              <w:spacing w:after="40"/>
            </w:pPr>
            <w:r>
              <w:rPr>
                <w:sz w:val="16"/>
                <w:szCs w:val="16"/>
              </w:rPr>
              <w:t>Opens ÷ delivered.</w:t>
            </w:r>
          </w:p>
        </w:tc>
        <w:tc>
          <w:tcPr>
            <w:tcW w:w="500" w:type="dxa"/>
          </w:tcPr>
          <w:p w14:paraId="0D6BEDE9" w14:textId="77777777" w:rsidR="00A2611F" w:rsidRDefault="00000000">
            <w:pPr>
              <w:spacing w:after="40"/>
            </w:pPr>
            <w:r>
              <w:rPr>
                <w:sz w:val="16"/>
                <w:szCs w:val="16"/>
              </w:rPr>
              <w:t>–</w:t>
            </w:r>
          </w:p>
        </w:tc>
        <w:tc>
          <w:tcPr>
            <w:tcW w:w="500" w:type="dxa"/>
          </w:tcPr>
          <w:p w14:paraId="0092C6DC" w14:textId="77777777" w:rsidR="00A2611F" w:rsidRDefault="00000000">
            <w:pPr>
              <w:spacing w:after="40"/>
            </w:pPr>
            <w:r>
              <w:rPr>
                <w:sz w:val="16"/>
                <w:szCs w:val="16"/>
              </w:rPr>
              <w:t>–</w:t>
            </w:r>
          </w:p>
        </w:tc>
        <w:tc>
          <w:tcPr>
            <w:tcW w:w="500" w:type="dxa"/>
          </w:tcPr>
          <w:p w14:paraId="19E3A247" w14:textId="77777777" w:rsidR="00A2611F" w:rsidRDefault="00000000">
            <w:pPr>
              <w:spacing w:after="40"/>
            </w:pPr>
            <w:r>
              <w:rPr>
                <w:sz w:val="16"/>
                <w:szCs w:val="16"/>
              </w:rPr>
              <w:t>✓</w:t>
            </w:r>
          </w:p>
        </w:tc>
        <w:tc>
          <w:tcPr>
            <w:tcW w:w="600" w:type="dxa"/>
          </w:tcPr>
          <w:p w14:paraId="4CD55067" w14:textId="77777777" w:rsidR="00A2611F" w:rsidRDefault="00000000">
            <w:pPr>
              <w:spacing w:after="40"/>
            </w:pPr>
            <w:r>
              <w:rPr>
                <w:sz w:val="16"/>
                <w:szCs w:val="16"/>
              </w:rPr>
              <w:t>–</w:t>
            </w:r>
          </w:p>
        </w:tc>
        <w:tc>
          <w:tcPr>
            <w:tcW w:w="2200" w:type="dxa"/>
          </w:tcPr>
          <w:p w14:paraId="2E7A5B82" w14:textId="77777777" w:rsidR="00A2611F" w:rsidRDefault="00000000">
            <w:pPr>
              <w:spacing w:after="40"/>
            </w:pPr>
            <w:r>
              <w:rPr>
                <w:sz w:val="16"/>
                <w:szCs w:val="16"/>
              </w:rPr>
              <w:t>Open rate reported by segment.</w:t>
            </w:r>
          </w:p>
        </w:tc>
        <w:tc>
          <w:tcPr>
            <w:tcW w:w="2200" w:type="dxa"/>
          </w:tcPr>
          <w:p w14:paraId="271546C5" w14:textId="77777777" w:rsidR="00A2611F" w:rsidRDefault="00000000">
            <w:pPr>
              <w:spacing w:after="40"/>
            </w:pPr>
            <w:r>
              <w:rPr>
                <w:sz w:val="16"/>
                <w:szCs w:val="16"/>
              </w:rPr>
              <w:t>Privacy-inflated opens disclosed and adjusted.</w:t>
            </w:r>
          </w:p>
        </w:tc>
      </w:tr>
      <w:tr w:rsidR="00A2611F" w14:paraId="68764B24" w14:textId="77777777">
        <w:tc>
          <w:tcPr>
            <w:tcW w:w="1100" w:type="dxa"/>
          </w:tcPr>
          <w:p w14:paraId="60A3EFF8" w14:textId="77777777" w:rsidR="00A2611F" w:rsidRDefault="00000000">
            <w:pPr>
              <w:spacing w:after="40"/>
            </w:pPr>
            <w:r>
              <w:rPr>
                <w:sz w:val="16"/>
                <w:szCs w:val="16"/>
              </w:rPr>
              <w:t>Click / CTR (owned)</w:t>
            </w:r>
          </w:p>
        </w:tc>
        <w:tc>
          <w:tcPr>
            <w:tcW w:w="3300" w:type="dxa"/>
          </w:tcPr>
          <w:p w14:paraId="0C39F8CE" w14:textId="77777777" w:rsidR="00A2611F" w:rsidRDefault="00000000">
            <w:pPr>
              <w:spacing w:after="40"/>
            </w:pPr>
            <w:r>
              <w:rPr>
                <w:sz w:val="16"/>
                <w:szCs w:val="16"/>
              </w:rPr>
              <w:t>Clicks on owned-channel message ÷ delivered.</w:t>
            </w:r>
          </w:p>
        </w:tc>
        <w:tc>
          <w:tcPr>
            <w:tcW w:w="500" w:type="dxa"/>
          </w:tcPr>
          <w:p w14:paraId="270AA60B" w14:textId="77777777" w:rsidR="00A2611F" w:rsidRDefault="00000000">
            <w:pPr>
              <w:spacing w:after="40"/>
            </w:pPr>
            <w:r>
              <w:rPr>
                <w:sz w:val="16"/>
                <w:szCs w:val="16"/>
              </w:rPr>
              <w:t>–</w:t>
            </w:r>
          </w:p>
        </w:tc>
        <w:tc>
          <w:tcPr>
            <w:tcW w:w="500" w:type="dxa"/>
          </w:tcPr>
          <w:p w14:paraId="5E90B81B" w14:textId="77777777" w:rsidR="00A2611F" w:rsidRDefault="00000000">
            <w:pPr>
              <w:spacing w:after="40"/>
            </w:pPr>
            <w:r>
              <w:rPr>
                <w:sz w:val="16"/>
                <w:szCs w:val="16"/>
              </w:rPr>
              <w:t>–</w:t>
            </w:r>
          </w:p>
        </w:tc>
        <w:tc>
          <w:tcPr>
            <w:tcW w:w="500" w:type="dxa"/>
          </w:tcPr>
          <w:p w14:paraId="70F3C1EA" w14:textId="77777777" w:rsidR="00A2611F" w:rsidRDefault="00000000">
            <w:pPr>
              <w:spacing w:after="40"/>
            </w:pPr>
            <w:r>
              <w:rPr>
                <w:sz w:val="16"/>
                <w:szCs w:val="16"/>
              </w:rPr>
              <w:t>✓</w:t>
            </w:r>
          </w:p>
        </w:tc>
        <w:tc>
          <w:tcPr>
            <w:tcW w:w="600" w:type="dxa"/>
          </w:tcPr>
          <w:p w14:paraId="5263339B" w14:textId="77777777" w:rsidR="00A2611F" w:rsidRDefault="00000000">
            <w:pPr>
              <w:spacing w:after="40"/>
            </w:pPr>
            <w:r>
              <w:rPr>
                <w:sz w:val="16"/>
                <w:szCs w:val="16"/>
              </w:rPr>
              <w:t>–</w:t>
            </w:r>
          </w:p>
        </w:tc>
        <w:tc>
          <w:tcPr>
            <w:tcW w:w="2200" w:type="dxa"/>
          </w:tcPr>
          <w:p w14:paraId="42BF960D" w14:textId="77777777" w:rsidR="00A2611F" w:rsidRDefault="00000000">
            <w:pPr>
              <w:spacing w:after="40"/>
            </w:pPr>
            <w:r>
              <w:rPr>
                <w:sz w:val="16"/>
                <w:szCs w:val="16"/>
              </w:rPr>
              <w:t>Click rate reported by segment and content.</w:t>
            </w:r>
          </w:p>
        </w:tc>
        <w:tc>
          <w:tcPr>
            <w:tcW w:w="2200" w:type="dxa"/>
          </w:tcPr>
          <w:p w14:paraId="4AEC5B45" w14:textId="77777777" w:rsidR="00A2611F" w:rsidRDefault="00000000">
            <w:pPr>
              <w:spacing w:after="40"/>
            </w:pPr>
            <w:r>
              <w:rPr>
                <w:sz w:val="16"/>
                <w:szCs w:val="16"/>
              </w:rPr>
              <w:t>Deduplicated against paid touches.</w:t>
            </w:r>
          </w:p>
        </w:tc>
      </w:tr>
      <w:tr w:rsidR="00A2611F" w14:paraId="4E5BA995" w14:textId="77777777">
        <w:tc>
          <w:tcPr>
            <w:tcW w:w="1100" w:type="dxa"/>
          </w:tcPr>
          <w:p w14:paraId="1D2DA58F" w14:textId="77777777" w:rsidR="00A2611F" w:rsidRDefault="00000000">
            <w:pPr>
              <w:spacing w:after="40"/>
            </w:pPr>
            <w:r>
              <w:rPr>
                <w:sz w:val="16"/>
                <w:szCs w:val="16"/>
              </w:rPr>
              <w:t>Unsubscribe / Opt-out Rate</w:t>
            </w:r>
          </w:p>
        </w:tc>
        <w:tc>
          <w:tcPr>
            <w:tcW w:w="3300" w:type="dxa"/>
          </w:tcPr>
          <w:p w14:paraId="7B350DA0" w14:textId="77777777" w:rsidR="00A2611F" w:rsidRDefault="00000000">
            <w:pPr>
              <w:spacing w:after="40"/>
            </w:pPr>
            <w:r>
              <w:rPr>
                <w:sz w:val="16"/>
                <w:szCs w:val="16"/>
              </w:rPr>
              <w:t>Opt-outs ÷ delivered.</w:t>
            </w:r>
          </w:p>
        </w:tc>
        <w:tc>
          <w:tcPr>
            <w:tcW w:w="500" w:type="dxa"/>
          </w:tcPr>
          <w:p w14:paraId="3D58B98C" w14:textId="77777777" w:rsidR="00A2611F" w:rsidRDefault="00000000">
            <w:pPr>
              <w:spacing w:after="40"/>
            </w:pPr>
            <w:r>
              <w:rPr>
                <w:sz w:val="16"/>
                <w:szCs w:val="16"/>
              </w:rPr>
              <w:t>–</w:t>
            </w:r>
          </w:p>
        </w:tc>
        <w:tc>
          <w:tcPr>
            <w:tcW w:w="500" w:type="dxa"/>
          </w:tcPr>
          <w:p w14:paraId="0FD3049B" w14:textId="77777777" w:rsidR="00A2611F" w:rsidRDefault="00000000">
            <w:pPr>
              <w:spacing w:after="40"/>
            </w:pPr>
            <w:r>
              <w:rPr>
                <w:sz w:val="16"/>
                <w:szCs w:val="16"/>
              </w:rPr>
              <w:t>–</w:t>
            </w:r>
          </w:p>
        </w:tc>
        <w:tc>
          <w:tcPr>
            <w:tcW w:w="500" w:type="dxa"/>
          </w:tcPr>
          <w:p w14:paraId="2D64727F" w14:textId="77777777" w:rsidR="00A2611F" w:rsidRDefault="00000000">
            <w:pPr>
              <w:spacing w:after="40"/>
            </w:pPr>
            <w:r>
              <w:rPr>
                <w:sz w:val="16"/>
                <w:szCs w:val="16"/>
              </w:rPr>
              <w:t>✓</w:t>
            </w:r>
          </w:p>
        </w:tc>
        <w:tc>
          <w:tcPr>
            <w:tcW w:w="600" w:type="dxa"/>
          </w:tcPr>
          <w:p w14:paraId="018930DB" w14:textId="77777777" w:rsidR="00A2611F" w:rsidRDefault="00000000">
            <w:pPr>
              <w:spacing w:after="40"/>
            </w:pPr>
            <w:r>
              <w:rPr>
                <w:sz w:val="16"/>
                <w:szCs w:val="16"/>
              </w:rPr>
              <w:t>–</w:t>
            </w:r>
          </w:p>
        </w:tc>
        <w:tc>
          <w:tcPr>
            <w:tcW w:w="2200" w:type="dxa"/>
          </w:tcPr>
          <w:p w14:paraId="0723F650" w14:textId="77777777" w:rsidR="00A2611F" w:rsidRDefault="00000000">
            <w:pPr>
              <w:spacing w:after="40"/>
            </w:pPr>
            <w:r>
              <w:rPr>
                <w:sz w:val="16"/>
                <w:szCs w:val="16"/>
              </w:rPr>
              <w:t>Unsubscribe rate reported and trended over time.</w:t>
            </w:r>
          </w:p>
        </w:tc>
        <w:tc>
          <w:tcPr>
            <w:tcW w:w="2200" w:type="dxa"/>
          </w:tcPr>
          <w:p w14:paraId="09AD09BF" w14:textId="77777777" w:rsidR="00A2611F" w:rsidRDefault="00000000">
            <w:pPr>
              <w:spacing w:after="40"/>
            </w:pPr>
            <w:r>
              <w:rPr>
                <w:sz w:val="16"/>
                <w:szCs w:val="16"/>
              </w:rPr>
              <w:t>Tied to consent and frequency governance.</w:t>
            </w:r>
          </w:p>
        </w:tc>
      </w:tr>
      <w:tr w:rsidR="00A2611F" w14:paraId="02BE3365" w14:textId="77777777">
        <w:tc>
          <w:tcPr>
            <w:tcW w:w="1100" w:type="dxa"/>
          </w:tcPr>
          <w:p w14:paraId="2D859C5F" w14:textId="77777777" w:rsidR="00A2611F" w:rsidRDefault="00000000">
            <w:pPr>
              <w:spacing w:after="40"/>
            </w:pPr>
            <w:r>
              <w:rPr>
                <w:sz w:val="16"/>
                <w:szCs w:val="16"/>
              </w:rPr>
              <w:t>Lifecycle Segment</w:t>
            </w:r>
          </w:p>
        </w:tc>
        <w:tc>
          <w:tcPr>
            <w:tcW w:w="3300" w:type="dxa"/>
          </w:tcPr>
          <w:p w14:paraId="79CCC592" w14:textId="77777777" w:rsidR="00A2611F" w:rsidRDefault="00000000">
            <w:pPr>
              <w:spacing w:after="40"/>
            </w:pPr>
            <w:r>
              <w:rPr>
                <w:sz w:val="16"/>
                <w:szCs w:val="16"/>
              </w:rPr>
              <w:t>Lapsed / loyal / new classification used as the primitive.</w:t>
            </w:r>
          </w:p>
        </w:tc>
        <w:tc>
          <w:tcPr>
            <w:tcW w:w="500" w:type="dxa"/>
          </w:tcPr>
          <w:p w14:paraId="3FC462CE" w14:textId="77777777" w:rsidR="00A2611F" w:rsidRDefault="00000000">
            <w:pPr>
              <w:spacing w:after="40"/>
            </w:pPr>
            <w:r>
              <w:rPr>
                <w:sz w:val="16"/>
                <w:szCs w:val="16"/>
              </w:rPr>
              <w:t>–</w:t>
            </w:r>
          </w:p>
        </w:tc>
        <w:tc>
          <w:tcPr>
            <w:tcW w:w="500" w:type="dxa"/>
          </w:tcPr>
          <w:p w14:paraId="6C0F60E9" w14:textId="77777777" w:rsidR="00A2611F" w:rsidRDefault="00000000">
            <w:pPr>
              <w:spacing w:after="40"/>
            </w:pPr>
            <w:r>
              <w:rPr>
                <w:sz w:val="16"/>
                <w:szCs w:val="16"/>
              </w:rPr>
              <w:t>–</w:t>
            </w:r>
          </w:p>
        </w:tc>
        <w:tc>
          <w:tcPr>
            <w:tcW w:w="500" w:type="dxa"/>
          </w:tcPr>
          <w:p w14:paraId="2505AFF3" w14:textId="77777777" w:rsidR="00A2611F" w:rsidRDefault="00000000">
            <w:pPr>
              <w:spacing w:after="40"/>
            </w:pPr>
            <w:r>
              <w:rPr>
                <w:sz w:val="16"/>
                <w:szCs w:val="16"/>
              </w:rPr>
              <w:t>✓</w:t>
            </w:r>
          </w:p>
        </w:tc>
        <w:tc>
          <w:tcPr>
            <w:tcW w:w="600" w:type="dxa"/>
          </w:tcPr>
          <w:p w14:paraId="663BC6EE" w14:textId="77777777" w:rsidR="00A2611F" w:rsidRDefault="00000000">
            <w:pPr>
              <w:spacing w:after="40"/>
            </w:pPr>
            <w:r>
              <w:rPr>
                <w:sz w:val="16"/>
                <w:szCs w:val="16"/>
              </w:rPr>
              <w:t>–</w:t>
            </w:r>
          </w:p>
        </w:tc>
        <w:tc>
          <w:tcPr>
            <w:tcW w:w="2200" w:type="dxa"/>
          </w:tcPr>
          <w:p w14:paraId="1E4B8782" w14:textId="77777777" w:rsidR="00A2611F" w:rsidRDefault="00000000">
            <w:pPr>
              <w:spacing w:after="40"/>
            </w:pPr>
            <w:r>
              <w:rPr>
                <w:sz w:val="16"/>
                <w:szCs w:val="16"/>
              </w:rPr>
              <w:t>Segment defined and disclosed, with the consent basis (POPIA) disclosed.</w:t>
            </w:r>
          </w:p>
        </w:tc>
        <w:tc>
          <w:tcPr>
            <w:tcW w:w="2200" w:type="dxa"/>
          </w:tcPr>
          <w:p w14:paraId="529A410B" w14:textId="77777777" w:rsidR="00A2611F" w:rsidRDefault="00000000">
            <w:pPr>
              <w:spacing w:after="40"/>
            </w:pPr>
            <w:r>
              <w:rPr>
                <w:sz w:val="16"/>
                <w:szCs w:val="16"/>
              </w:rPr>
              <w:t>Attribution deduplicated vs paid on/off-site.</w:t>
            </w:r>
          </w:p>
        </w:tc>
      </w:tr>
    </w:tbl>
    <w:p w14:paraId="55C6487C" w14:textId="77777777" w:rsidR="00A2611F" w:rsidRDefault="00000000">
      <w:pPr>
        <w:spacing w:before="100" w:after="220"/>
      </w:pPr>
      <w:r>
        <w:rPr>
          <w:i/>
          <w:iCs/>
          <w:color w:val="444444"/>
          <w:sz w:val="18"/>
          <w:szCs w:val="18"/>
        </w:rPr>
        <w:t>Consent basis under the Protection of Personal Information Act (POPIA) must be disclosed for any direct-marketing measurement. Owned-channel touches, including WhatsApp, must be deduplicated against paid on-site and off-site attribution to avoid double-counting.</w:t>
      </w:r>
    </w:p>
    <w:p w14:paraId="32D7AFFE" w14:textId="77777777" w:rsidR="00A2611F" w:rsidRDefault="00000000">
      <w:r>
        <w:br w:type="page"/>
      </w:r>
    </w:p>
    <w:p w14:paraId="17875FD1" w14:textId="77777777" w:rsidR="00A2611F" w:rsidRDefault="00000000">
      <w:pPr>
        <w:pStyle w:val="Heading2"/>
      </w:pPr>
      <w:r>
        <w:lastRenderedPageBreak/>
        <w:t>2.5 Audiences &amp; Cross-Channel Attribution</w:t>
      </w:r>
    </w:p>
    <w:p w14:paraId="3F73A5C6" w14:textId="77777777" w:rsidR="00A2611F" w:rsidRDefault="00000000">
      <w:pPr>
        <w:spacing w:after="160" w:line="276" w:lineRule="auto"/>
        <w:jc w:val="both"/>
      </w:pPr>
      <w:r>
        <w:t>Audience metrics describe who was reached; cross-channel attribution connects a single outcome across environments. Both depend on an identity spine, and in this market that spine is loyalty-led, so match rates, linkage rates, and the attribution model must all be disclosed.</w:t>
      </w:r>
    </w:p>
    <w:tbl>
      <w:tblPr>
        <w:tblW w:w="10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3300"/>
        <w:gridCol w:w="500"/>
        <w:gridCol w:w="500"/>
        <w:gridCol w:w="500"/>
        <w:gridCol w:w="600"/>
        <w:gridCol w:w="2200"/>
        <w:gridCol w:w="2200"/>
      </w:tblGrid>
      <w:tr w:rsidR="00A2611F" w14:paraId="4A5BD1BC" w14:textId="77777777">
        <w:trPr>
          <w:tblHeader/>
        </w:trPr>
        <w:tc>
          <w:tcPr>
            <w:tcW w:w="1100" w:type="dxa"/>
            <w:shd w:val="clear" w:color="auto" w:fill="D9D9D9"/>
            <w:vAlign w:val="center"/>
          </w:tcPr>
          <w:p w14:paraId="52AB7665" w14:textId="77777777" w:rsidR="00A2611F" w:rsidRDefault="00000000">
            <w:r>
              <w:rPr>
                <w:b/>
                <w:bCs/>
                <w:sz w:val="16"/>
                <w:szCs w:val="16"/>
              </w:rPr>
              <w:t>Metric</w:t>
            </w:r>
          </w:p>
        </w:tc>
        <w:tc>
          <w:tcPr>
            <w:tcW w:w="3300" w:type="dxa"/>
            <w:shd w:val="clear" w:color="auto" w:fill="D9D9D9"/>
            <w:vAlign w:val="center"/>
          </w:tcPr>
          <w:p w14:paraId="16E9D5E3" w14:textId="77777777" w:rsidR="00A2611F" w:rsidRDefault="00000000">
            <w:r>
              <w:rPr>
                <w:b/>
                <w:bCs/>
                <w:sz w:val="16"/>
                <w:szCs w:val="16"/>
              </w:rPr>
              <w:t>Definition</w:t>
            </w:r>
          </w:p>
        </w:tc>
        <w:tc>
          <w:tcPr>
            <w:tcW w:w="500" w:type="dxa"/>
            <w:shd w:val="clear" w:color="auto" w:fill="D9D9D9"/>
            <w:vAlign w:val="center"/>
          </w:tcPr>
          <w:p w14:paraId="23BF2D19" w14:textId="77777777" w:rsidR="00A2611F" w:rsidRDefault="00000000">
            <w:r>
              <w:rPr>
                <w:b/>
                <w:bCs/>
                <w:sz w:val="16"/>
                <w:szCs w:val="16"/>
              </w:rPr>
              <w:t>On</w:t>
            </w:r>
          </w:p>
        </w:tc>
        <w:tc>
          <w:tcPr>
            <w:tcW w:w="500" w:type="dxa"/>
            <w:shd w:val="clear" w:color="auto" w:fill="D9D9D9"/>
            <w:vAlign w:val="center"/>
          </w:tcPr>
          <w:p w14:paraId="7831E46E" w14:textId="77777777" w:rsidR="00A2611F" w:rsidRDefault="00000000">
            <w:r>
              <w:rPr>
                <w:b/>
                <w:bCs/>
                <w:sz w:val="16"/>
                <w:szCs w:val="16"/>
              </w:rPr>
              <w:t>Off</w:t>
            </w:r>
          </w:p>
        </w:tc>
        <w:tc>
          <w:tcPr>
            <w:tcW w:w="500" w:type="dxa"/>
            <w:shd w:val="clear" w:color="auto" w:fill="D9D9D9"/>
            <w:vAlign w:val="center"/>
          </w:tcPr>
          <w:p w14:paraId="2D1553B0" w14:textId="77777777" w:rsidR="00A2611F" w:rsidRDefault="00000000">
            <w:r>
              <w:rPr>
                <w:b/>
                <w:bCs/>
                <w:sz w:val="16"/>
                <w:szCs w:val="16"/>
              </w:rPr>
              <w:t>DM</w:t>
            </w:r>
          </w:p>
        </w:tc>
        <w:tc>
          <w:tcPr>
            <w:tcW w:w="600" w:type="dxa"/>
            <w:shd w:val="clear" w:color="auto" w:fill="D9D9D9"/>
            <w:vAlign w:val="center"/>
          </w:tcPr>
          <w:p w14:paraId="26384701" w14:textId="77777777" w:rsidR="00A2611F" w:rsidRDefault="00000000">
            <w:r>
              <w:rPr>
                <w:b/>
                <w:bCs/>
                <w:sz w:val="16"/>
                <w:szCs w:val="16"/>
              </w:rPr>
              <w:t>In</w:t>
            </w:r>
          </w:p>
        </w:tc>
        <w:tc>
          <w:tcPr>
            <w:tcW w:w="2200" w:type="dxa"/>
            <w:shd w:val="clear" w:color="auto" w:fill="D9D9D9"/>
            <w:vAlign w:val="center"/>
          </w:tcPr>
          <w:p w14:paraId="5808B074" w14:textId="77777777" w:rsidR="00A2611F" w:rsidRDefault="00000000">
            <w:r>
              <w:rPr>
                <w:b/>
                <w:bCs/>
                <w:sz w:val="16"/>
                <w:szCs w:val="16"/>
              </w:rPr>
              <w:t>Standard</w:t>
            </w:r>
          </w:p>
        </w:tc>
        <w:tc>
          <w:tcPr>
            <w:tcW w:w="2200" w:type="dxa"/>
            <w:shd w:val="clear" w:color="auto" w:fill="D9D9D9"/>
            <w:vAlign w:val="center"/>
          </w:tcPr>
          <w:p w14:paraId="606629BB" w14:textId="77777777" w:rsidR="00A2611F" w:rsidRDefault="00000000">
            <w:r>
              <w:rPr>
                <w:b/>
                <w:bCs/>
                <w:sz w:val="16"/>
                <w:szCs w:val="16"/>
              </w:rPr>
              <w:t>Advanced</w:t>
            </w:r>
          </w:p>
        </w:tc>
      </w:tr>
      <w:tr w:rsidR="00A2611F" w14:paraId="544E279A" w14:textId="77777777">
        <w:tc>
          <w:tcPr>
            <w:tcW w:w="1100" w:type="dxa"/>
          </w:tcPr>
          <w:p w14:paraId="3F89FB3A" w14:textId="77777777" w:rsidR="00A2611F" w:rsidRDefault="00000000">
            <w:pPr>
              <w:spacing w:after="40"/>
            </w:pPr>
            <w:r>
              <w:rPr>
                <w:sz w:val="16"/>
                <w:szCs w:val="16"/>
              </w:rPr>
              <w:t>Unique Reach</w:t>
            </w:r>
          </w:p>
        </w:tc>
        <w:tc>
          <w:tcPr>
            <w:tcW w:w="3300" w:type="dxa"/>
          </w:tcPr>
          <w:p w14:paraId="2B77C96C" w14:textId="77777777" w:rsidR="00A2611F" w:rsidRDefault="00000000">
            <w:pPr>
              <w:spacing w:after="40"/>
            </w:pPr>
            <w:r>
              <w:rPr>
                <w:sz w:val="16"/>
                <w:szCs w:val="16"/>
              </w:rPr>
              <w:t>Unduplicated individuals exposed or reached in the period.</w:t>
            </w:r>
          </w:p>
        </w:tc>
        <w:tc>
          <w:tcPr>
            <w:tcW w:w="500" w:type="dxa"/>
          </w:tcPr>
          <w:p w14:paraId="2D76F68C" w14:textId="77777777" w:rsidR="00A2611F" w:rsidRDefault="00000000">
            <w:pPr>
              <w:spacing w:after="40"/>
            </w:pPr>
            <w:r>
              <w:rPr>
                <w:sz w:val="16"/>
                <w:szCs w:val="16"/>
              </w:rPr>
              <w:t>✓</w:t>
            </w:r>
          </w:p>
        </w:tc>
        <w:tc>
          <w:tcPr>
            <w:tcW w:w="500" w:type="dxa"/>
          </w:tcPr>
          <w:p w14:paraId="47DD292F" w14:textId="77777777" w:rsidR="00A2611F" w:rsidRDefault="00000000">
            <w:pPr>
              <w:spacing w:after="40"/>
            </w:pPr>
            <w:r>
              <w:rPr>
                <w:sz w:val="16"/>
                <w:szCs w:val="16"/>
              </w:rPr>
              <w:t>✓</w:t>
            </w:r>
          </w:p>
        </w:tc>
        <w:tc>
          <w:tcPr>
            <w:tcW w:w="500" w:type="dxa"/>
          </w:tcPr>
          <w:p w14:paraId="0A81BF21" w14:textId="77777777" w:rsidR="00A2611F" w:rsidRDefault="00000000">
            <w:pPr>
              <w:spacing w:after="40"/>
            </w:pPr>
            <w:r>
              <w:rPr>
                <w:sz w:val="16"/>
                <w:szCs w:val="16"/>
              </w:rPr>
              <w:t>✓</w:t>
            </w:r>
          </w:p>
        </w:tc>
        <w:tc>
          <w:tcPr>
            <w:tcW w:w="600" w:type="dxa"/>
          </w:tcPr>
          <w:p w14:paraId="2E8DFA4E" w14:textId="77777777" w:rsidR="00A2611F" w:rsidRDefault="00000000">
            <w:pPr>
              <w:spacing w:after="40"/>
            </w:pPr>
            <w:r>
              <w:rPr>
                <w:sz w:val="16"/>
                <w:szCs w:val="16"/>
              </w:rPr>
              <w:t>OTS</w:t>
            </w:r>
          </w:p>
        </w:tc>
        <w:tc>
          <w:tcPr>
            <w:tcW w:w="2200" w:type="dxa"/>
          </w:tcPr>
          <w:p w14:paraId="17C84759" w14:textId="77777777" w:rsidR="00A2611F" w:rsidRDefault="00000000">
            <w:pPr>
              <w:spacing w:after="40"/>
            </w:pPr>
            <w:r>
              <w:rPr>
                <w:sz w:val="16"/>
                <w:szCs w:val="16"/>
              </w:rPr>
              <w:t>Unique reach reported per environment, deduplicated within environment.</w:t>
            </w:r>
          </w:p>
        </w:tc>
        <w:tc>
          <w:tcPr>
            <w:tcW w:w="2200" w:type="dxa"/>
          </w:tcPr>
          <w:p w14:paraId="7965DFF8" w14:textId="77777777" w:rsidR="00A2611F" w:rsidRDefault="00000000">
            <w:pPr>
              <w:spacing w:after="40"/>
            </w:pPr>
            <w:r>
              <w:rPr>
                <w:sz w:val="16"/>
                <w:szCs w:val="16"/>
              </w:rPr>
              <w:t>Cross-environment dedup via identity spine.</w:t>
            </w:r>
          </w:p>
        </w:tc>
      </w:tr>
      <w:tr w:rsidR="00A2611F" w14:paraId="6A1C983B" w14:textId="77777777">
        <w:tc>
          <w:tcPr>
            <w:tcW w:w="1100" w:type="dxa"/>
          </w:tcPr>
          <w:p w14:paraId="5552182F" w14:textId="77777777" w:rsidR="00A2611F" w:rsidRDefault="00000000">
            <w:pPr>
              <w:spacing w:after="40"/>
            </w:pPr>
            <w:r>
              <w:rPr>
                <w:sz w:val="16"/>
                <w:szCs w:val="16"/>
              </w:rPr>
              <w:t>Segment Size</w:t>
            </w:r>
          </w:p>
        </w:tc>
        <w:tc>
          <w:tcPr>
            <w:tcW w:w="3300" w:type="dxa"/>
          </w:tcPr>
          <w:p w14:paraId="4976A9BA" w14:textId="77777777" w:rsidR="00A2611F" w:rsidRDefault="00000000">
            <w:pPr>
              <w:spacing w:after="40"/>
            </w:pPr>
            <w:r>
              <w:rPr>
                <w:sz w:val="16"/>
                <w:szCs w:val="16"/>
              </w:rPr>
              <w:t>Identifiable users in a defined targeting segment.</w:t>
            </w:r>
          </w:p>
        </w:tc>
        <w:tc>
          <w:tcPr>
            <w:tcW w:w="500" w:type="dxa"/>
          </w:tcPr>
          <w:p w14:paraId="685A1890" w14:textId="77777777" w:rsidR="00A2611F" w:rsidRDefault="00000000">
            <w:pPr>
              <w:spacing w:after="40"/>
            </w:pPr>
            <w:r>
              <w:rPr>
                <w:sz w:val="16"/>
                <w:szCs w:val="16"/>
              </w:rPr>
              <w:t>✓</w:t>
            </w:r>
          </w:p>
        </w:tc>
        <w:tc>
          <w:tcPr>
            <w:tcW w:w="500" w:type="dxa"/>
          </w:tcPr>
          <w:p w14:paraId="636D3DE7" w14:textId="77777777" w:rsidR="00A2611F" w:rsidRDefault="00000000">
            <w:pPr>
              <w:spacing w:after="40"/>
            </w:pPr>
            <w:r>
              <w:rPr>
                <w:sz w:val="16"/>
                <w:szCs w:val="16"/>
              </w:rPr>
              <w:t>✓</w:t>
            </w:r>
          </w:p>
        </w:tc>
        <w:tc>
          <w:tcPr>
            <w:tcW w:w="500" w:type="dxa"/>
          </w:tcPr>
          <w:p w14:paraId="70ECAED7" w14:textId="77777777" w:rsidR="00A2611F" w:rsidRDefault="00000000">
            <w:pPr>
              <w:spacing w:after="40"/>
            </w:pPr>
            <w:r>
              <w:rPr>
                <w:sz w:val="16"/>
                <w:szCs w:val="16"/>
              </w:rPr>
              <w:t>✓</w:t>
            </w:r>
          </w:p>
        </w:tc>
        <w:tc>
          <w:tcPr>
            <w:tcW w:w="600" w:type="dxa"/>
          </w:tcPr>
          <w:p w14:paraId="42FC6BD6" w14:textId="77777777" w:rsidR="00A2611F" w:rsidRDefault="00000000">
            <w:pPr>
              <w:spacing w:after="40"/>
            </w:pPr>
            <w:r>
              <w:rPr>
                <w:sz w:val="16"/>
                <w:szCs w:val="16"/>
              </w:rPr>
              <w:t>–</w:t>
            </w:r>
          </w:p>
        </w:tc>
        <w:tc>
          <w:tcPr>
            <w:tcW w:w="2200" w:type="dxa"/>
          </w:tcPr>
          <w:p w14:paraId="68C1C2C9" w14:textId="77777777" w:rsidR="00A2611F" w:rsidRDefault="00000000">
            <w:pPr>
              <w:spacing w:after="40"/>
            </w:pPr>
            <w:r>
              <w:rPr>
                <w:sz w:val="16"/>
                <w:szCs w:val="16"/>
              </w:rPr>
              <w:t>Segment size at activation reported by segment type (loyalty / behavioural / demo).</w:t>
            </w:r>
          </w:p>
        </w:tc>
        <w:tc>
          <w:tcPr>
            <w:tcW w:w="2200" w:type="dxa"/>
          </w:tcPr>
          <w:p w14:paraId="6C5A9540" w14:textId="77777777" w:rsidR="00A2611F" w:rsidRDefault="00000000">
            <w:pPr>
              <w:spacing w:after="40"/>
            </w:pPr>
            <w:r>
              <w:rPr>
                <w:sz w:val="16"/>
                <w:szCs w:val="16"/>
              </w:rPr>
              <w:t>Match-rate and decay disclosed.</w:t>
            </w:r>
          </w:p>
        </w:tc>
      </w:tr>
      <w:tr w:rsidR="00A2611F" w14:paraId="61F966DC" w14:textId="77777777">
        <w:tc>
          <w:tcPr>
            <w:tcW w:w="1100" w:type="dxa"/>
          </w:tcPr>
          <w:p w14:paraId="6609037F" w14:textId="77777777" w:rsidR="00A2611F" w:rsidRDefault="00000000">
            <w:pPr>
              <w:spacing w:after="40"/>
            </w:pPr>
            <w:r>
              <w:rPr>
                <w:sz w:val="16"/>
                <w:szCs w:val="16"/>
              </w:rPr>
              <w:t>Demographic / Geographic Breakdown</w:t>
            </w:r>
          </w:p>
        </w:tc>
        <w:tc>
          <w:tcPr>
            <w:tcW w:w="3300" w:type="dxa"/>
          </w:tcPr>
          <w:p w14:paraId="02D806D7" w14:textId="77777777" w:rsidR="00A2611F" w:rsidRDefault="00000000">
            <w:pPr>
              <w:spacing w:after="40"/>
            </w:pPr>
            <w:r>
              <w:rPr>
                <w:sz w:val="16"/>
                <w:szCs w:val="16"/>
              </w:rPr>
              <w:t>Audience composition by demo attributes or geography / catchment.</w:t>
            </w:r>
          </w:p>
        </w:tc>
        <w:tc>
          <w:tcPr>
            <w:tcW w:w="500" w:type="dxa"/>
          </w:tcPr>
          <w:p w14:paraId="348B2891" w14:textId="77777777" w:rsidR="00A2611F" w:rsidRDefault="00000000">
            <w:pPr>
              <w:spacing w:after="40"/>
            </w:pPr>
            <w:r>
              <w:rPr>
                <w:sz w:val="16"/>
                <w:szCs w:val="16"/>
              </w:rPr>
              <w:t>✓</w:t>
            </w:r>
          </w:p>
        </w:tc>
        <w:tc>
          <w:tcPr>
            <w:tcW w:w="500" w:type="dxa"/>
          </w:tcPr>
          <w:p w14:paraId="59A020F0" w14:textId="77777777" w:rsidR="00A2611F" w:rsidRDefault="00000000">
            <w:pPr>
              <w:spacing w:after="40"/>
            </w:pPr>
            <w:r>
              <w:rPr>
                <w:sz w:val="16"/>
                <w:szCs w:val="16"/>
              </w:rPr>
              <w:t>✓</w:t>
            </w:r>
          </w:p>
        </w:tc>
        <w:tc>
          <w:tcPr>
            <w:tcW w:w="500" w:type="dxa"/>
          </w:tcPr>
          <w:p w14:paraId="6F1C74FF" w14:textId="77777777" w:rsidR="00A2611F" w:rsidRDefault="00000000">
            <w:pPr>
              <w:spacing w:after="40"/>
            </w:pPr>
            <w:r>
              <w:rPr>
                <w:sz w:val="16"/>
                <w:szCs w:val="16"/>
              </w:rPr>
              <w:t>✓</w:t>
            </w:r>
          </w:p>
        </w:tc>
        <w:tc>
          <w:tcPr>
            <w:tcW w:w="600" w:type="dxa"/>
          </w:tcPr>
          <w:p w14:paraId="31C1445D" w14:textId="77777777" w:rsidR="00A2611F" w:rsidRDefault="00000000">
            <w:pPr>
              <w:spacing w:after="40"/>
            </w:pPr>
            <w:r>
              <w:rPr>
                <w:sz w:val="16"/>
                <w:szCs w:val="16"/>
              </w:rPr>
              <w:t>Zone</w:t>
            </w:r>
          </w:p>
        </w:tc>
        <w:tc>
          <w:tcPr>
            <w:tcW w:w="2200" w:type="dxa"/>
          </w:tcPr>
          <w:p w14:paraId="5E6862A6" w14:textId="77777777" w:rsidR="00A2611F" w:rsidRDefault="00000000">
            <w:pPr>
              <w:spacing w:after="40"/>
            </w:pPr>
            <w:r>
              <w:rPr>
                <w:sz w:val="16"/>
                <w:szCs w:val="16"/>
              </w:rPr>
              <w:t>Reported where available, with disclosed source and standardised dimensions.</w:t>
            </w:r>
          </w:p>
        </w:tc>
        <w:tc>
          <w:tcPr>
            <w:tcW w:w="2200" w:type="dxa"/>
          </w:tcPr>
          <w:p w14:paraId="659D635A" w14:textId="77777777" w:rsidR="00A2611F" w:rsidRDefault="00000000">
            <w:pPr>
              <w:spacing w:after="40"/>
            </w:pPr>
            <w:r>
              <w:rPr>
                <w:sz w:val="16"/>
                <w:szCs w:val="16"/>
              </w:rPr>
              <w:t>Modelled gaps disclosed with method.</w:t>
            </w:r>
          </w:p>
        </w:tc>
      </w:tr>
      <w:tr w:rsidR="00A2611F" w14:paraId="771EA779" w14:textId="77777777">
        <w:tc>
          <w:tcPr>
            <w:tcW w:w="1100" w:type="dxa"/>
          </w:tcPr>
          <w:p w14:paraId="37EBE6BB" w14:textId="77777777" w:rsidR="00A2611F" w:rsidRDefault="00000000">
            <w:pPr>
              <w:spacing w:after="40"/>
            </w:pPr>
            <w:r>
              <w:rPr>
                <w:sz w:val="16"/>
                <w:szCs w:val="16"/>
              </w:rPr>
              <w:t>Loyalty Penetration</w:t>
            </w:r>
          </w:p>
        </w:tc>
        <w:tc>
          <w:tcPr>
            <w:tcW w:w="3300" w:type="dxa"/>
          </w:tcPr>
          <w:p w14:paraId="6FFF617B" w14:textId="77777777" w:rsidR="00A2611F" w:rsidRDefault="00000000">
            <w:pPr>
              <w:spacing w:after="40"/>
            </w:pPr>
            <w:r>
              <w:rPr>
                <w:sz w:val="16"/>
                <w:szCs w:val="16"/>
              </w:rPr>
              <w:t>Share of transactions, revenue, units, or impressions linked to a loyalty ID³ — the calculation basis must be stated.</w:t>
            </w:r>
          </w:p>
        </w:tc>
        <w:tc>
          <w:tcPr>
            <w:tcW w:w="500" w:type="dxa"/>
          </w:tcPr>
          <w:p w14:paraId="334BABD0" w14:textId="77777777" w:rsidR="00A2611F" w:rsidRDefault="00000000">
            <w:pPr>
              <w:spacing w:after="40"/>
            </w:pPr>
            <w:r>
              <w:rPr>
                <w:sz w:val="16"/>
                <w:szCs w:val="16"/>
              </w:rPr>
              <w:t>✓</w:t>
            </w:r>
          </w:p>
        </w:tc>
        <w:tc>
          <w:tcPr>
            <w:tcW w:w="500" w:type="dxa"/>
          </w:tcPr>
          <w:p w14:paraId="790B156A" w14:textId="77777777" w:rsidR="00A2611F" w:rsidRDefault="00000000">
            <w:pPr>
              <w:spacing w:after="40"/>
            </w:pPr>
            <w:r>
              <w:rPr>
                <w:sz w:val="16"/>
                <w:szCs w:val="16"/>
              </w:rPr>
              <w:t>–</w:t>
            </w:r>
          </w:p>
        </w:tc>
        <w:tc>
          <w:tcPr>
            <w:tcW w:w="500" w:type="dxa"/>
          </w:tcPr>
          <w:p w14:paraId="39416EF5" w14:textId="77777777" w:rsidR="00A2611F" w:rsidRDefault="00000000">
            <w:pPr>
              <w:spacing w:after="40"/>
            </w:pPr>
            <w:r>
              <w:rPr>
                <w:sz w:val="16"/>
                <w:szCs w:val="16"/>
              </w:rPr>
              <w:t>✓</w:t>
            </w:r>
          </w:p>
        </w:tc>
        <w:tc>
          <w:tcPr>
            <w:tcW w:w="600" w:type="dxa"/>
          </w:tcPr>
          <w:p w14:paraId="1E4A72C4" w14:textId="77777777" w:rsidR="00A2611F" w:rsidRDefault="00000000">
            <w:pPr>
              <w:spacing w:after="40"/>
            </w:pPr>
            <w:r>
              <w:rPr>
                <w:sz w:val="16"/>
                <w:szCs w:val="16"/>
              </w:rPr>
              <w:t>POS</w:t>
            </w:r>
          </w:p>
        </w:tc>
        <w:tc>
          <w:tcPr>
            <w:tcW w:w="2200" w:type="dxa"/>
          </w:tcPr>
          <w:p w14:paraId="292180CD" w14:textId="77777777" w:rsidR="00A2611F" w:rsidRDefault="00000000">
            <w:pPr>
              <w:spacing w:after="40"/>
            </w:pPr>
            <w:r>
              <w:rPr>
                <w:sz w:val="16"/>
                <w:szCs w:val="16"/>
              </w:rPr>
              <w:t>Loyalty linkage rate reported by channel and store format, with the calculation basis stated.</w:t>
            </w:r>
          </w:p>
        </w:tc>
        <w:tc>
          <w:tcPr>
            <w:tcW w:w="2200" w:type="dxa"/>
          </w:tcPr>
          <w:p w14:paraId="055709C6" w14:textId="77777777" w:rsidR="00A2611F" w:rsidRDefault="00000000">
            <w:pPr>
              <w:spacing w:after="40"/>
            </w:pPr>
            <w:r>
              <w:rPr>
                <w:sz w:val="16"/>
                <w:szCs w:val="16"/>
              </w:rPr>
              <w:t>Used to weight extrapolation, disclosed.</w:t>
            </w:r>
          </w:p>
        </w:tc>
      </w:tr>
      <w:tr w:rsidR="00A2611F" w14:paraId="0906B648" w14:textId="77777777">
        <w:tc>
          <w:tcPr>
            <w:tcW w:w="1100" w:type="dxa"/>
          </w:tcPr>
          <w:p w14:paraId="6E0BD626" w14:textId="77777777" w:rsidR="00A2611F" w:rsidRDefault="00000000">
            <w:pPr>
              <w:spacing w:after="40"/>
            </w:pPr>
            <w:r>
              <w:rPr>
                <w:sz w:val="16"/>
                <w:szCs w:val="16"/>
              </w:rPr>
              <w:t>Audience Match Rate</w:t>
            </w:r>
          </w:p>
        </w:tc>
        <w:tc>
          <w:tcPr>
            <w:tcW w:w="3300" w:type="dxa"/>
          </w:tcPr>
          <w:p w14:paraId="5723601F" w14:textId="77777777" w:rsidR="00A2611F" w:rsidRDefault="00000000">
            <w:pPr>
              <w:spacing w:after="40"/>
            </w:pPr>
            <w:r>
              <w:rPr>
                <w:sz w:val="16"/>
                <w:szCs w:val="16"/>
              </w:rPr>
              <w:t>Share of first-party segment matched to a partner audience.</w:t>
            </w:r>
          </w:p>
        </w:tc>
        <w:tc>
          <w:tcPr>
            <w:tcW w:w="500" w:type="dxa"/>
          </w:tcPr>
          <w:p w14:paraId="032B69E5" w14:textId="77777777" w:rsidR="00A2611F" w:rsidRDefault="00000000">
            <w:pPr>
              <w:spacing w:after="40"/>
            </w:pPr>
            <w:r>
              <w:rPr>
                <w:sz w:val="16"/>
                <w:szCs w:val="16"/>
              </w:rPr>
              <w:t>–</w:t>
            </w:r>
          </w:p>
        </w:tc>
        <w:tc>
          <w:tcPr>
            <w:tcW w:w="500" w:type="dxa"/>
          </w:tcPr>
          <w:p w14:paraId="338A277F" w14:textId="77777777" w:rsidR="00A2611F" w:rsidRDefault="00000000">
            <w:pPr>
              <w:spacing w:after="40"/>
            </w:pPr>
            <w:r>
              <w:rPr>
                <w:sz w:val="16"/>
                <w:szCs w:val="16"/>
              </w:rPr>
              <w:t>✓</w:t>
            </w:r>
          </w:p>
        </w:tc>
        <w:tc>
          <w:tcPr>
            <w:tcW w:w="500" w:type="dxa"/>
          </w:tcPr>
          <w:p w14:paraId="5619FA8B" w14:textId="77777777" w:rsidR="00A2611F" w:rsidRDefault="00000000">
            <w:pPr>
              <w:spacing w:after="40"/>
            </w:pPr>
            <w:r>
              <w:rPr>
                <w:sz w:val="16"/>
                <w:szCs w:val="16"/>
              </w:rPr>
              <w:t>✓</w:t>
            </w:r>
          </w:p>
        </w:tc>
        <w:tc>
          <w:tcPr>
            <w:tcW w:w="600" w:type="dxa"/>
          </w:tcPr>
          <w:p w14:paraId="3DAD9B4F" w14:textId="77777777" w:rsidR="00A2611F" w:rsidRDefault="00000000">
            <w:pPr>
              <w:spacing w:after="40"/>
            </w:pPr>
            <w:r>
              <w:rPr>
                <w:sz w:val="16"/>
                <w:szCs w:val="16"/>
              </w:rPr>
              <w:t>–</w:t>
            </w:r>
          </w:p>
        </w:tc>
        <w:tc>
          <w:tcPr>
            <w:tcW w:w="2200" w:type="dxa"/>
          </w:tcPr>
          <w:p w14:paraId="482C065B" w14:textId="77777777" w:rsidR="00A2611F" w:rsidRDefault="00000000">
            <w:pPr>
              <w:spacing w:after="40"/>
            </w:pPr>
            <w:r>
              <w:rPr>
                <w:sz w:val="16"/>
                <w:szCs w:val="16"/>
              </w:rPr>
              <w:t>Match rate disclosed for off-site activation, by partner.</w:t>
            </w:r>
          </w:p>
        </w:tc>
        <w:tc>
          <w:tcPr>
            <w:tcW w:w="2200" w:type="dxa"/>
          </w:tcPr>
          <w:p w14:paraId="5BFCB709" w14:textId="77777777" w:rsidR="00A2611F" w:rsidRDefault="00000000">
            <w:pPr>
              <w:spacing w:after="40"/>
            </w:pPr>
            <w:r>
              <w:rPr>
                <w:sz w:val="16"/>
                <w:szCs w:val="16"/>
              </w:rPr>
              <w:t>Match decay and methodology disclosed.</w:t>
            </w:r>
          </w:p>
        </w:tc>
      </w:tr>
      <w:tr w:rsidR="00A2611F" w14:paraId="21D8585F" w14:textId="77777777">
        <w:tc>
          <w:tcPr>
            <w:tcW w:w="1100" w:type="dxa"/>
          </w:tcPr>
          <w:p w14:paraId="618B8BBF" w14:textId="77777777" w:rsidR="00A2611F" w:rsidRDefault="00000000">
            <w:pPr>
              <w:spacing w:after="40"/>
            </w:pPr>
            <w:r>
              <w:rPr>
                <w:sz w:val="16"/>
                <w:szCs w:val="16"/>
              </w:rPr>
              <w:t>Cross-Channel Attribution</w:t>
            </w:r>
          </w:p>
        </w:tc>
        <w:tc>
          <w:tcPr>
            <w:tcW w:w="3300" w:type="dxa"/>
          </w:tcPr>
          <w:p w14:paraId="417D02F1" w14:textId="77777777" w:rsidR="00A2611F" w:rsidRDefault="00000000">
            <w:pPr>
              <w:spacing w:after="40"/>
            </w:pPr>
            <w:r>
              <w:rPr>
                <w:sz w:val="16"/>
                <w:szCs w:val="16"/>
              </w:rPr>
              <w:t>One purchase attributed across on-site, off-site, in-store touchpoints.</w:t>
            </w:r>
          </w:p>
        </w:tc>
        <w:tc>
          <w:tcPr>
            <w:tcW w:w="500" w:type="dxa"/>
          </w:tcPr>
          <w:p w14:paraId="73E6A83F" w14:textId="77777777" w:rsidR="00A2611F" w:rsidRDefault="00000000">
            <w:pPr>
              <w:spacing w:after="40"/>
            </w:pPr>
            <w:r>
              <w:rPr>
                <w:sz w:val="16"/>
                <w:szCs w:val="16"/>
              </w:rPr>
              <w:t>✓</w:t>
            </w:r>
          </w:p>
        </w:tc>
        <w:tc>
          <w:tcPr>
            <w:tcW w:w="500" w:type="dxa"/>
          </w:tcPr>
          <w:p w14:paraId="72D16AC6" w14:textId="77777777" w:rsidR="00A2611F" w:rsidRDefault="00000000">
            <w:pPr>
              <w:spacing w:after="40"/>
            </w:pPr>
            <w:r>
              <w:rPr>
                <w:sz w:val="16"/>
                <w:szCs w:val="16"/>
              </w:rPr>
              <w:t>✓</w:t>
            </w:r>
          </w:p>
        </w:tc>
        <w:tc>
          <w:tcPr>
            <w:tcW w:w="500" w:type="dxa"/>
          </w:tcPr>
          <w:p w14:paraId="66FA31BA" w14:textId="77777777" w:rsidR="00A2611F" w:rsidRDefault="00000000">
            <w:pPr>
              <w:spacing w:after="40"/>
            </w:pPr>
            <w:r>
              <w:rPr>
                <w:sz w:val="16"/>
                <w:szCs w:val="16"/>
              </w:rPr>
              <w:t>✓</w:t>
            </w:r>
          </w:p>
        </w:tc>
        <w:tc>
          <w:tcPr>
            <w:tcW w:w="600" w:type="dxa"/>
          </w:tcPr>
          <w:p w14:paraId="275299E4" w14:textId="77777777" w:rsidR="00A2611F" w:rsidRDefault="00000000">
            <w:pPr>
              <w:spacing w:after="40"/>
            </w:pPr>
            <w:r>
              <w:rPr>
                <w:sz w:val="16"/>
                <w:szCs w:val="16"/>
              </w:rPr>
              <w:t>POS</w:t>
            </w:r>
          </w:p>
        </w:tc>
        <w:tc>
          <w:tcPr>
            <w:tcW w:w="2200" w:type="dxa"/>
          </w:tcPr>
          <w:p w14:paraId="26E69A32" w14:textId="77777777" w:rsidR="00A2611F" w:rsidRDefault="00000000">
            <w:pPr>
              <w:spacing w:after="40"/>
            </w:pPr>
            <w:r>
              <w:rPr>
                <w:sz w:val="16"/>
                <w:szCs w:val="16"/>
              </w:rPr>
              <w:t>Rules-based multi-touch attribution reported, with the model disclosed.</w:t>
            </w:r>
          </w:p>
        </w:tc>
        <w:tc>
          <w:tcPr>
            <w:tcW w:w="2200" w:type="dxa"/>
          </w:tcPr>
          <w:p w14:paraId="77B625E2" w14:textId="77777777" w:rsidR="00A2611F" w:rsidRDefault="00000000">
            <w:pPr>
              <w:spacing w:after="40"/>
            </w:pPr>
            <w:r>
              <w:rPr>
                <w:sz w:val="16"/>
                <w:szCs w:val="16"/>
              </w:rPr>
              <w:t>Data-driven attribution, deterministic where possible.</w:t>
            </w:r>
          </w:p>
        </w:tc>
      </w:tr>
    </w:tbl>
    <w:p w14:paraId="03C3055D" w14:textId="77777777" w:rsidR="00A2611F" w:rsidRDefault="00000000">
      <w:pPr>
        <w:spacing w:before="100" w:after="220"/>
      </w:pPr>
      <w:r>
        <w:rPr>
          <w:i/>
          <w:iCs/>
          <w:color w:val="444444"/>
          <w:sz w:val="18"/>
          <w:szCs w:val="18"/>
        </w:rPr>
        <w:t>³ Loyalty penetration is reported as the share of transactions, revenue, units, or impressions linked to a loyalty ID, and the retailer must state which of the four is the calculation basis, since they can diverge materially where cash baskets differ systematically from loyalty-linked baskets (§1.3). It is the deterministic base for extrapolation across the standard and should be read alongside any closed-loop outcome (§1.2–§1.3).</w:t>
      </w:r>
    </w:p>
    <w:p w14:paraId="6BB173E2" w14:textId="77777777" w:rsidR="00A2611F" w:rsidRDefault="00000000">
      <w:r>
        <w:br w:type="page"/>
      </w:r>
    </w:p>
    <w:p w14:paraId="11B7A0A9" w14:textId="77777777" w:rsidR="00A2611F" w:rsidRDefault="00000000">
      <w:pPr>
        <w:pStyle w:val="Heading1"/>
      </w:pPr>
      <w:r>
        <w:lastRenderedPageBreak/>
        <w:t>3. Advanced Measurement</w:t>
      </w:r>
    </w:p>
    <w:p w14:paraId="4C9B3B1A" w14:textId="77777777" w:rsidR="00A2611F" w:rsidRDefault="00000000">
      <w:pPr>
        <w:spacing w:after="160" w:line="276" w:lineRule="auto"/>
        <w:jc w:val="both"/>
      </w:pPr>
      <w:r>
        <w:t>Advanced measurement sits above standard attribution. Where Section 2 counts what happened and credits it to media, this section asks the harder question of what media caused, and assembles the methods that answer it: incrementality, marketing mix modelling, multi-touch attribution, and incremental customer lifetime value. None of these is required at the standard's reporting floor. They are named here so the market has a shared definition of rigour to aim at, and so buyers can tell genuine causal measurement from correlation dressed as a clean-room output.</w:t>
      </w:r>
    </w:p>
    <w:p w14:paraId="7A3727C3" w14:textId="77777777" w:rsidR="00A2611F" w:rsidRDefault="00000000">
      <w:pPr>
        <w:spacing w:after="160" w:line="276" w:lineRule="auto"/>
        <w:jc w:val="both"/>
      </w:pPr>
      <w:r>
        <w:t>Shopper Intelligence — descriptive, diagnostic shopper analysis — is addressed in §2.3.1 rather than here. This section is deliberately narrowed to causal measurement, so that nothing in it can be read as evidence of impact unless it actually is.</w:t>
      </w:r>
    </w:p>
    <w:p w14:paraId="30FD6372" w14:textId="77777777" w:rsidR="00A2611F" w:rsidRDefault="00000000">
      <w:pPr>
        <w:pStyle w:val="Heading2"/>
      </w:pPr>
      <w:r>
        <w:t>3.1 Incrementality &amp; the Baseline Problem</w:t>
      </w:r>
    </w:p>
    <w:p w14:paraId="03DCCCC8" w14:textId="77777777" w:rsidR="00A2611F" w:rsidRDefault="00000000">
      <w:pPr>
        <w:spacing w:after="160" w:line="276" w:lineRule="auto"/>
        <w:jc w:val="both"/>
      </w:pPr>
      <w:r>
        <w:t>Incrementality is the integrity anchor of the whole standard. Attributed ROAS credits media for sales that touched an ad; incrementality asks how many of those sales would not have happened anyway. The gap between the two is often large, and the difference between a match-back and a true causal estimate is the difference between a number that flatters media and one that can be trusted for budget decisions.</w:t>
      </w:r>
    </w:p>
    <w:p w14:paraId="48A8C941" w14:textId="77777777" w:rsidR="00A2611F" w:rsidRDefault="00000000">
      <w:pPr>
        <w:pStyle w:val="Heading3"/>
      </w:pPr>
      <w:r>
        <w:t>Terminology rule</w:t>
      </w:r>
    </w:p>
    <w:p w14:paraId="0E3DB016" w14:textId="77777777" w:rsidR="00A2611F" w:rsidRDefault="00000000">
      <w:pPr>
        <w:spacing w:after="160" w:line="276" w:lineRule="auto"/>
        <w:jc w:val="both"/>
      </w:pPr>
      <w:r>
        <w:t>A simple before/after comparison is not incrementality and must not be labelled as such. It is reported as directional sales lift, and it remains a legitimate starting point for a retailer not yet running a controlled design — but the label matters, because pre/post describes a data pull, not a causal claim. “Incrementality” and “iROAS” are reserved for results built on a genuine control group, which is the Standard-tier floor and above.</w:t>
      </w:r>
    </w:p>
    <w:p w14:paraId="6F98FDED" w14:textId="77777777" w:rsidR="00A2611F" w:rsidRDefault="00000000">
      <w:pPr>
        <w:pStyle w:val="Heading3"/>
      </w:pPr>
      <w:r>
        <w:t>3.1.1 What Makes a Measurement Causal</w:t>
      </w:r>
    </w:p>
    <w:p w14:paraId="5B52674E" w14:textId="77777777" w:rsidR="00A2611F" w:rsidRDefault="00000000">
      <w:pPr>
        <w:spacing w:after="160" w:line="276" w:lineRule="auto"/>
        <w:jc w:val="both"/>
      </w:pPr>
      <w:r>
        <w:t>This subsection is drawn from current recognized international guidance for incremental measurement in commerce media, which distils causal validity into three requirements. A result that satisfies all three can claim causality; a result that does not is a directional proxy, however confident its framing.</w:t>
      </w:r>
    </w:p>
    <w:p w14:paraId="0351FF12" w14:textId="77777777" w:rsidR="00A2611F" w:rsidRDefault="00000000">
      <w:pPr>
        <w:spacing w:after="160" w:line="276" w:lineRule="auto"/>
        <w:jc w:val="both"/>
      </w:pPr>
      <w:r>
        <w:rPr>
          <w:b/>
          <w:bCs/>
        </w:rPr>
        <w:t xml:space="preserve">A credible counterfactual or intervention. </w:t>
      </w:r>
      <w:r>
        <w:t>The design must establish a valid “what if not” scenario — a clear separation of a treated group from an untreated one, whether by user-level randomisation, a platform holdout, or a matched geography. Without this, a measured difference may reflect correlation rather than campaign impact, and the rigour of this initial separation is the single largest determinant of the result's causal strength.</w:t>
      </w:r>
    </w:p>
    <w:p w14:paraId="7BB2FFF2" w14:textId="77777777" w:rsidR="00A2611F" w:rsidRDefault="00000000">
      <w:pPr>
        <w:spacing w:after="160" w:line="276" w:lineRule="auto"/>
        <w:jc w:val="both"/>
      </w:pPr>
      <w:r>
        <w:rPr>
          <w:b/>
          <w:bCs/>
        </w:rPr>
        <w:t xml:space="preserve">Control of bias. </w:t>
      </w:r>
      <w:r>
        <w:t>The measured effect must reflect the campaign's impact rather than hidden factors that move the outcome regardless of media. In the SA context the most material of these are seasonality, concurrent promotions or price changes, and — where relevant — informal and cash-based competitive activity that a formal dataset will not capture; a design that does not name and address its likely confounders has not controlled for bias merely by having a control group.</w:t>
      </w:r>
    </w:p>
    <w:p w14:paraId="1D11DFC7" w14:textId="77777777" w:rsidR="00A2611F" w:rsidRDefault="00000000">
      <w:pPr>
        <w:spacing w:after="160" w:line="276" w:lineRule="auto"/>
        <w:jc w:val="both"/>
      </w:pPr>
      <w:r>
        <w:rPr>
          <w:b/>
          <w:bCs/>
        </w:rPr>
        <w:t xml:space="preserve">Separation of signal from noise. </w:t>
      </w:r>
      <w:r>
        <w:t>Even a well-designed comparison can produce a lift estimate that is statistically indistinguishable from randomness, particularly where the number of matched stores or geographies is small — a live constraint for matched-market designs run against a single SA retailer's footprint. A confidence interval that does not exclude zero is not a reliable basis for a budget decision, and repeated measurement over time, rather than a single test, is often what separates a persistent effect from a one-off fluctuation.</w:t>
      </w:r>
    </w:p>
    <w:p w14:paraId="51C29F3F" w14:textId="77777777" w:rsidR="00A2611F" w:rsidRDefault="00000000">
      <w:pPr>
        <w:pStyle w:val="Heading3"/>
      </w:pPr>
      <w:r>
        <w:t>3.1.2 Minimum Disclosure</w:t>
      </w:r>
    </w:p>
    <w:p w14:paraId="32641871" w14:textId="77777777" w:rsidR="00A2611F" w:rsidRDefault="00000000">
      <w:pPr>
        <w:spacing w:after="160" w:line="276" w:lineRule="auto"/>
        <w:jc w:val="both"/>
      </w:pPr>
      <w:r>
        <w:t xml:space="preserve">Any incrementality or iROAS result must disclose the control-group size, the matching ratio or criteria, the confidence interval, the known biases, and how the holdout or control group itself was constructed: whether by random assignment, </w:t>
      </w:r>
      <w:r>
        <w:lastRenderedPageBreak/>
        <w:t>by matched-market selection against disclosed criteria, or as inputs to a synthetic control. Consistent with broader recognized disclosure requirements for modelled or sampled results, the sampling and non-sampling error underlying the confidence interval should also be identifiable on request, not only the interval itself. A lift figure without these items is directional at best and must be labelled as such; “statistically significant control group” is not a sufficient claim on its own.</w:t>
      </w:r>
    </w:p>
    <w:p w14:paraId="450A77C0" w14:textId="77777777" w:rsidR="00A2611F" w:rsidRDefault="00000000">
      <w:pPr>
        <w:spacing w:before="100" w:after="220"/>
      </w:pPr>
      <w:r>
        <w:rPr>
          <w:i/>
          <w:iCs/>
          <w:color w:val="444444"/>
          <w:sz w:val="18"/>
          <w:szCs w:val="18"/>
        </w:rPr>
        <w:t>Note: incrementality itself is not a required tier for any retailer. Where a retailer does report or run an incrementality or iROAS test, however, the items above are the minimum requirements to keep the result free of avoidable data bias and to establish statistical significance, so that a buyer can trust the figure as genuinely causal rather than directional dressed up as causal.</w:t>
      </w:r>
    </w:p>
    <w:p w14:paraId="3DA0CC47" w14:textId="77777777" w:rsidR="00A2611F" w:rsidRDefault="00000000">
      <w:pPr>
        <w:pStyle w:val="Heading3"/>
      </w:pPr>
      <w:r>
        <w:t>3.1.3 Methods, Tiered</w:t>
      </w:r>
    </w:p>
    <w:p w14:paraId="5CC99D3A" w14:textId="77777777" w:rsidR="00A2611F" w:rsidRDefault="00000000">
      <w:pPr>
        <w:spacing w:after="160" w:line="276" w:lineRule="auto"/>
        <w:jc w:val="both"/>
      </w:pPr>
      <w:r>
        <w:t>Current recognized international guidance groups incrementality methods into four categories — experiment-based, model-based counterfactual, econometric, and hybrid proxy — each with a different causal strength and scope. This revision maps that framework onto the standard's own two working tiers, so a retailer can see both where a method sits globally and what it means for an SA tier declaration. Econometric methods (MMM) are addressed separately in §3.2, since they operate at a portfolio level rather than a single-campaign level and are a complement to, not a substitute for, the methods below.</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200"/>
        <w:gridCol w:w="1200"/>
        <w:gridCol w:w="1400"/>
        <w:gridCol w:w="4400"/>
      </w:tblGrid>
      <w:tr w:rsidR="00A2611F" w14:paraId="0567906E" w14:textId="77777777">
        <w:trPr>
          <w:tblHeader/>
        </w:trPr>
        <w:tc>
          <w:tcPr>
            <w:tcW w:w="1600" w:type="dxa"/>
            <w:shd w:val="clear" w:color="auto" w:fill="D9D9D9"/>
            <w:vAlign w:val="center"/>
          </w:tcPr>
          <w:p w14:paraId="3DA1A751" w14:textId="77777777" w:rsidR="00A2611F" w:rsidRDefault="00000000">
            <w:r>
              <w:rPr>
                <w:b/>
                <w:bCs/>
                <w:sz w:val="16"/>
                <w:szCs w:val="16"/>
              </w:rPr>
              <w:t>Method category</w:t>
            </w:r>
          </w:p>
        </w:tc>
        <w:tc>
          <w:tcPr>
            <w:tcW w:w="2200" w:type="dxa"/>
            <w:shd w:val="clear" w:color="auto" w:fill="D9D9D9"/>
            <w:vAlign w:val="center"/>
          </w:tcPr>
          <w:p w14:paraId="7D9CA1D1" w14:textId="77777777" w:rsidR="00A2611F" w:rsidRDefault="00000000">
            <w:r>
              <w:rPr>
                <w:b/>
                <w:bCs/>
                <w:sz w:val="16"/>
                <w:szCs w:val="16"/>
              </w:rPr>
              <w:t>Example approaches</w:t>
            </w:r>
          </w:p>
        </w:tc>
        <w:tc>
          <w:tcPr>
            <w:tcW w:w="1200" w:type="dxa"/>
            <w:shd w:val="clear" w:color="auto" w:fill="D9D9D9"/>
            <w:vAlign w:val="center"/>
          </w:tcPr>
          <w:p w14:paraId="7CF8D57E" w14:textId="77777777" w:rsidR="00A2611F" w:rsidRDefault="00000000">
            <w:r>
              <w:rPr>
                <w:b/>
                <w:bCs/>
                <w:sz w:val="16"/>
                <w:szCs w:val="16"/>
              </w:rPr>
              <w:t>Causal strength</w:t>
            </w:r>
          </w:p>
        </w:tc>
        <w:tc>
          <w:tcPr>
            <w:tcW w:w="1400" w:type="dxa"/>
            <w:shd w:val="clear" w:color="auto" w:fill="D9D9D9"/>
            <w:vAlign w:val="center"/>
          </w:tcPr>
          <w:p w14:paraId="71234BAA" w14:textId="77777777" w:rsidR="00A2611F" w:rsidRDefault="00000000">
            <w:r>
              <w:rPr>
                <w:b/>
                <w:bCs/>
                <w:sz w:val="16"/>
                <w:szCs w:val="16"/>
              </w:rPr>
              <w:t>SA tier</w:t>
            </w:r>
          </w:p>
        </w:tc>
        <w:tc>
          <w:tcPr>
            <w:tcW w:w="4400" w:type="dxa"/>
            <w:shd w:val="clear" w:color="auto" w:fill="D9D9D9"/>
            <w:vAlign w:val="center"/>
          </w:tcPr>
          <w:p w14:paraId="721AB390" w14:textId="77777777" w:rsidR="00A2611F" w:rsidRDefault="00000000">
            <w:r>
              <w:rPr>
                <w:b/>
                <w:bCs/>
                <w:sz w:val="16"/>
                <w:szCs w:val="16"/>
              </w:rPr>
              <w:t>SA-context note</w:t>
            </w:r>
          </w:p>
        </w:tc>
      </w:tr>
      <w:tr w:rsidR="00A2611F" w14:paraId="7226AEA0" w14:textId="77777777">
        <w:tc>
          <w:tcPr>
            <w:tcW w:w="1600" w:type="dxa"/>
          </w:tcPr>
          <w:p w14:paraId="711C7BD6" w14:textId="77777777" w:rsidR="00A2611F" w:rsidRDefault="00000000">
            <w:pPr>
              <w:spacing w:after="40"/>
            </w:pPr>
            <w:r>
              <w:rPr>
                <w:sz w:val="16"/>
                <w:szCs w:val="16"/>
              </w:rPr>
              <w:t>Hybrid proxy</w:t>
            </w:r>
          </w:p>
        </w:tc>
        <w:tc>
          <w:tcPr>
            <w:tcW w:w="2200" w:type="dxa"/>
          </w:tcPr>
          <w:p w14:paraId="6CC7C391" w14:textId="77777777" w:rsidR="00A2611F" w:rsidRDefault="00000000">
            <w:pPr>
              <w:spacing w:after="40"/>
            </w:pPr>
            <w:r>
              <w:rPr>
                <w:sz w:val="16"/>
                <w:szCs w:val="16"/>
              </w:rPr>
              <w:t>New-to-brand %, baseline-vs-exposed before/after, platform-reported lift</w:t>
            </w:r>
          </w:p>
        </w:tc>
        <w:tc>
          <w:tcPr>
            <w:tcW w:w="1200" w:type="dxa"/>
          </w:tcPr>
          <w:p w14:paraId="46A67136" w14:textId="77777777" w:rsidR="00A2611F" w:rsidRDefault="00000000">
            <w:pPr>
              <w:spacing w:after="40"/>
            </w:pPr>
            <w:r>
              <w:rPr>
                <w:sz w:val="16"/>
                <w:szCs w:val="16"/>
              </w:rPr>
              <w:t>Weak</w:t>
            </w:r>
          </w:p>
        </w:tc>
        <w:tc>
          <w:tcPr>
            <w:tcW w:w="1400" w:type="dxa"/>
          </w:tcPr>
          <w:p w14:paraId="7A51EEDE" w14:textId="77777777" w:rsidR="00A2611F" w:rsidRDefault="00000000">
            <w:pPr>
              <w:spacing w:after="40"/>
            </w:pPr>
            <w:r>
              <w:rPr>
                <w:sz w:val="16"/>
                <w:szCs w:val="16"/>
              </w:rPr>
              <w:t>Not a required tier (directional sales lift only)</w:t>
            </w:r>
          </w:p>
        </w:tc>
        <w:tc>
          <w:tcPr>
            <w:tcW w:w="4400" w:type="dxa"/>
          </w:tcPr>
          <w:p w14:paraId="3445BB14" w14:textId="77777777" w:rsidR="00A2611F" w:rsidRDefault="00000000">
            <w:pPr>
              <w:spacing w:after="40"/>
            </w:pPr>
            <w:r>
              <w:rPr>
                <w:sz w:val="16"/>
                <w:szCs w:val="16"/>
              </w:rPr>
              <w:t>Never labelled incrementality or iROAS in this standard (Terminology rule, above). A reasonable always-on starting point while a retailer builds toward a genuine control-group design at Standard.</w:t>
            </w:r>
          </w:p>
        </w:tc>
      </w:tr>
      <w:tr w:rsidR="00A2611F" w14:paraId="4078D0E3" w14:textId="77777777">
        <w:tc>
          <w:tcPr>
            <w:tcW w:w="1600" w:type="dxa"/>
          </w:tcPr>
          <w:p w14:paraId="51063173" w14:textId="77777777" w:rsidR="00A2611F" w:rsidRDefault="00000000">
            <w:pPr>
              <w:spacing w:after="40"/>
            </w:pPr>
            <w:r>
              <w:rPr>
                <w:sz w:val="16"/>
                <w:szCs w:val="16"/>
              </w:rPr>
              <w:t>Experiment-based — matched markets</w:t>
            </w:r>
          </w:p>
        </w:tc>
        <w:tc>
          <w:tcPr>
            <w:tcW w:w="2200" w:type="dxa"/>
          </w:tcPr>
          <w:p w14:paraId="75A3F665" w14:textId="77777777" w:rsidR="00A2611F" w:rsidRDefault="00000000">
            <w:pPr>
              <w:spacing w:after="40"/>
            </w:pPr>
            <w:r>
              <w:rPr>
                <w:sz w:val="16"/>
                <w:szCs w:val="16"/>
              </w:rPr>
              <w:t>Difference-in-differences across matched stores or geos; ANCOVA or regression to isolate the media variable</w:t>
            </w:r>
          </w:p>
        </w:tc>
        <w:tc>
          <w:tcPr>
            <w:tcW w:w="1200" w:type="dxa"/>
          </w:tcPr>
          <w:p w14:paraId="2E3076EE" w14:textId="77777777" w:rsidR="00A2611F" w:rsidRDefault="00000000">
            <w:pPr>
              <w:spacing w:after="40"/>
            </w:pPr>
            <w:r>
              <w:rPr>
                <w:sz w:val="16"/>
                <w:szCs w:val="16"/>
              </w:rPr>
              <w:t>Strong; geo-tests are highly scalable</w:t>
            </w:r>
          </w:p>
        </w:tc>
        <w:tc>
          <w:tcPr>
            <w:tcW w:w="1400" w:type="dxa"/>
          </w:tcPr>
          <w:p w14:paraId="144F5437" w14:textId="77777777" w:rsidR="00A2611F" w:rsidRDefault="00000000">
            <w:pPr>
              <w:spacing w:after="40"/>
            </w:pPr>
            <w:r>
              <w:rPr>
                <w:sz w:val="16"/>
                <w:szCs w:val="16"/>
              </w:rPr>
              <w:t>Standard</w:t>
            </w:r>
          </w:p>
        </w:tc>
        <w:tc>
          <w:tcPr>
            <w:tcW w:w="4400" w:type="dxa"/>
          </w:tcPr>
          <w:p w14:paraId="425E8DF5" w14:textId="77777777" w:rsidR="00A2611F" w:rsidRDefault="00000000">
            <w:pPr>
              <w:spacing w:after="40"/>
            </w:pPr>
            <w:r>
              <w:rPr>
                <w:sz w:val="16"/>
                <w:szCs w:val="16"/>
              </w:rPr>
              <w:t>The realistic SA entry point for a genuine control group. Requires excluding statistical outlier stores and matching on store type, assortment, annual sales, and media support — not store profile alone — since concurrent in-store activity can otherwise confound the result.</w:t>
            </w:r>
          </w:p>
        </w:tc>
      </w:tr>
      <w:tr w:rsidR="00A2611F" w14:paraId="3C0786F4" w14:textId="77777777">
        <w:tc>
          <w:tcPr>
            <w:tcW w:w="1600" w:type="dxa"/>
          </w:tcPr>
          <w:p w14:paraId="75F268FB" w14:textId="77777777" w:rsidR="00A2611F" w:rsidRDefault="00000000">
            <w:pPr>
              <w:spacing w:after="40"/>
            </w:pPr>
            <w:r>
              <w:rPr>
                <w:sz w:val="16"/>
                <w:szCs w:val="16"/>
              </w:rPr>
              <w:t>Experiment-based — RCT, holdout, Ghost Ads</w:t>
            </w:r>
          </w:p>
        </w:tc>
        <w:tc>
          <w:tcPr>
            <w:tcW w:w="2200" w:type="dxa"/>
          </w:tcPr>
          <w:p w14:paraId="6FB26130" w14:textId="77777777" w:rsidR="00A2611F" w:rsidRDefault="00000000">
            <w:pPr>
              <w:spacing w:after="40"/>
            </w:pPr>
            <w:r>
              <w:rPr>
                <w:sz w:val="16"/>
                <w:szCs w:val="16"/>
              </w:rPr>
              <w:t>Randomised individual- or geo-level assignment; Ghost Ads or PSA methods to avoid conflating an intention-to-treat group with the treated group</w:t>
            </w:r>
          </w:p>
        </w:tc>
        <w:tc>
          <w:tcPr>
            <w:tcW w:w="1200" w:type="dxa"/>
          </w:tcPr>
          <w:p w14:paraId="29475FF5" w14:textId="77777777" w:rsidR="00A2611F" w:rsidRDefault="00000000">
            <w:pPr>
              <w:spacing w:after="40"/>
            </w:pPr>
            <w:r>
              <w:rPr>
                <w:sz w:val="16"/>
                <w:szCs w:val="16"/>
              </w:rPr>
              <w:t>Strong</w:t>
            </w:r>
          </w:p>
        </w:tc>
        <w:tc>
          <w:tcPr>
            <w:tcW w:w="1400" w:type="dxa"/>
          </w:tcPr>
          <w:p w14:paraId="3238F4AD" w14:textId="77777777" w:rsidR="00A2611F" w:rsidRDefault="00000000">
            <w:pPr>
              <w:spacing w:after="40"/>
            </w:pPr>
            <w:r>
              <w:rPr>
                <w:sz w:val="16"/>
                <w:szCs w:val="16"/>
              </w:rPr>
              <w:t>Advanced</w:t>
            </w:r>
          </w:p>
        </w:tc>
        <w:tc>
          <w:tcPr>
            <w:tcW w:w="4400" w:type="dxa"/>
          </w:tcPr>
          <w:p w14:paraId="4E0F4CF1" w14:textId="77777777" w:rsidR="00A2611F" w:rsidRDefault="00000000">
            <w:pPr>
              <w:spacing w:after="40"/>
            </w:pPr>
            <w:r>
              <w:rPr>
                <w:sz w:val="16"/>
                <w:szCs w:val="16"/>
              </w:rPr>
              <w:t>Requires the same targeting and bidding logic to determine both the treated and control populations. One-to-one matching between test and control households, where feasible, further isolates the effect.</w:t>
            </w:r>
          </w:p>
        </w:tc>
      </w:tr>
      <w:tr w:rsidR="00A2611F" w14:paraId="0060C707" w14:textId="77777777">
        <w:tc>
          <w:tcPr>
            <w:tcW w:w="1600" w:type="dxa"/>
          </w:tcPr>
          <w:p w14:paraId="07D10A79" w14:textId="77777777" w:rsidR="00A2611F" w:rsidRDefault="00000000">
            <w:pPr>
              <w:spacing w:after="40"/>
            </w:pPr>
            <w:r>
              <w:rPr>
                <w:sz w:val="16"/>
                <w:szCs w:val="16"/>
              </w:rPr>
              <w:t>Model-based counterfactual</w:t>
            </w:r>
          </w:p>
        </w:tc>
        <w:tc>
          <w:tcPr>
            <w:tcW w:w="2200" w:type="dxa"/>
          </w:tcPr>
          <w:p w14:paraId="798B7089" w14:textId="77777777" w:rsidR="00A2611F" w:rsidRDefault="00000000">
            <w:pPr>
              <w:spacing w:after="40"/>
            </w:pPr>
            <w:r>
              <w:rPr>
                <w:sz w:val="16"/>
                <w:szCs w:val="16"/>
              </w:rPr>
              <w:t>Propensity-score-matched synthetic control; two-model or single uplift-model approaches</w:t>
            </w:r>
          </w:p>
        </w:tc>
        <w:tc>
          <w:tcPr>
            <w:tcW w:w="1200" w:type="dxa"/>
          </w:tcPr>
          <w:p w14:paraId="75693AE4" w14:textId="77777777" w:rsidR="00A2611F" w:rsidRDefault="00000000">
            <w:pPr>
              <w:spacing w:after="40"/>
            </w:pPr>
            <w:r>
              <w:rPr>
                <w:sz w:val="16"/>
                <w:szCs w:val="16"/>
              </w:rPr>
              <w:t>Strong to moderate</w:t>
            </w:r>
          </w:p>
        </w:tc>
        <w:tc>
          <w:tcPr>
            <w:tcW w:w="1400" w:type="dxa"/>
          </w:tcPr>
          <w:p w14:paraId="6105383C" w14:textId="77777777" w:rsidR="00A2611F" w:rsidRDefault="00000000">
            <w:pPr>
              <w:spacing w:after="40"/>
            </w:pPr>
            <w:r>
              <w:rPr>
                <w:sz w:val="16"/>
                <w:szCs w:val="16"/>
              </w:rPr>
              <w:t>Advanced</w:t>
            </w:r>
          </w:p>
        </w:tc>
        <w:tc>
          <w:tcPr>
            <w:tcW w:w="4400" w:type="dxa"/>
          </w:tcPr>
          <w:p w14:paraId="204B35EF" w14:textId="77777777" w:rsidR="00A2611F" w:rsidRDefault="00000000">
            <w:pPr>
              <w:spacing w:after="40"/>
            </w:pPr>
            <w:r>
              <w:rPr>
                <w:sz w:val="16"/>
                <w:szCs w:val="16"/>
              </w:rPr>
              <w:t>Scales retrospectively without a live holdout, but is prone to model and selection bias. The matching ratio should be disclosed and adjusted for group-size imbalance — for example a wider ratio where the treated group is a small share of the addressable audience.</w:t>
            </w:r>
          </w:p>
        </w:tc>
      </w:tr>
      <w:tr w:rsidR="00A2611F" w14:paraId="3AB506FE" w14:textId="77777777">
        <w:tc>
          <w:tcPr>
            <w:tcW w:w="1600" w:type="dxa"/>
          </w:tcPr>
          <w:p w14:paraId="1BC009AC" w14:textId="77777777" w:rsidR="00A2611F" w:rsidRDefault="00000000">
            <w:pPr>
              <w:spacing w:after="40"/>
            </w:pPr>
            <w:r>
              <w:rPr>
                <w:sz w:val="16"/>
                <w:szCs w:val="16"/>
              </w:rPr>
              <w:t>Econometric (MMM)</w:t>
            </w:r>
          </w:p>
        </w:tc>
        <w:tc>
          <w:tcPr>
            <w:tcW w:w="2200" w:type="dxa"/>
          </w:tcPr>
          <w:p w14:paraId="313FD2D2" w14:textId="77777777" w:rsidR="00A2611F" w:rsidRDefault="00000000">
            <w:pPr>
              <w:spacing w:after="40"/>
            </w:pPr>
            <w:r>
              <w:rPr>
                <w:sz w:val="16"/>
                <w:szCs w:val="16"/>
              </w:rPr>
              <w:t>See §3.2</w:t>
            </w:r>
          </w:p>
        </w:tc>
        <w:tc>
          <w:tcPr>
            <w:tcW w:w="1200" w:type="dxa"/>
          </w:tcPr>
          <w:p w14:paraId="78878127" w14:textId="77777777" w:rsidR="00A2611F" w:rsidRDefault="00000000">
            <w:pPr>
              <w:spacing w:after="40"/>
            </w:pPr>
            <w:r>
              <w:rPr>
                <w:sz w:val="16"/>
                <w:szCs w:val="16"/>
              </w:rPr>
              <w:t>Moderate to weak, but high scope</w:t>
            </w:r>
          </w:p>
        </w:tc>
        <w:tc>
          <w:tcPr>
            <w:tcW w:w="1400" w:type="dxa"/>
          </w:tcPr>
          <w:p w14:paraId="01729E39" w14:textId="77777777" w:rsidR="00A2611F" w:rsidRDefault="00000000">
            <w:pPr>
              <w:spacing w:after="40"/>
            </w:pPr>
            <w:r>
              <w:rPr>
                <w:sz w:val="16"/>
                <w:szCs w:val="16"/>
              </w:rPr>
              <w:t>Advanced, as a complement</w:t>
            </w:r>
          </w:p>
        </w:tc>
        <w:tc>
          <w:tcPr>
            <w:tcW w:w="4400" w:type="dxa"/>
          </w:tcPr>
          <w:p w14:paraId="252C974C" w14:textId="77777777" w:rsidR="00A2611F" w:rsidRDefault="00000000">
            <w:pPr>
              <w:spacing w:after="40"/>
            </w:pPr>
            <w:r>
              <w:rPr>
                <w:sz w:val="16"/>
                <w:szCs w:val="16"/>
              </w:rPr>
              <w:t>Best suited to cross-channel budget allocation and long-run brand effects; not a substitute for a campaign-level Standard or Advanced incrementality read.</w:t>
            </w:r>
          </w:p>
        </w:tc>
      </w:tr>
    </w:tbl>
    <w:p w14:paraId="4DDA0F15" w14:textId="77777777" w:rsidR="00A2611F" w:rsidRDefault="00000000">
      <w:pPr>
        <w:spacing w:before="100" w:after="220"/>
      </w:pPr>
      <w:r>
        <w:rPr>
          <w:i/>
          <w:iCs/>
          <w:color w:val="444444"/>
          <w:sz w:val="18"/>
          <w:szCs w:val="18"/>
        </w:rPr>
        <w:t>Method categories, example approaches, and causal-strength ratings are adapted from current recognized international guidance for incremental measurement in commerce media. The SA-tier mapping and context notes are this Task Force's own.</w:t>
      </w:r>
    </w:p>
    <w:p w14:paraId="418181D4" w14:textId="77777777" w:rsidR="00A2611F" w:rsidRDefault="00000000">
      <w:r>
        <w:br w:type="page"/>
      </w:r>
    </w:p>
    <w:p w14:paraId="205E7CC2" w14:textId="77777777" w:rsidR="00A2611F" w:rsidRDefault="00000000">
      <w:pPr>
        <w:pStyle w:val="Heading3"/>
      </w:pPr>
      <w:r>
        <w:lastRenderedPageBreak/>
        <w:t>3.1.4 Data Types &amp; Sources</w:t>
      </w:r>
    </w:p>
    <w:p w14:paraId="63E4D0AD" w14:textId="77777777" w:rsidR="00A2611F" w:rsidRDefault="00000000">
      <w:pPr>
        <w:spacing w:after="160" w:line="276" w:lineRule="auto"/>
        <w:jc w:val="both"/>
      </w:pPr>
      <w:r>
        <w:t>Under recognized measurement guidance, deterministic data — collected through login, user ID, or loyalty-programme participation — should form the baseline for incrementality analysis, with probabilistic data used to extend coverage in multi-platform scenarios where deterministic linkage is not feasible. In the SA context, deterministic coverage is bounded by loyalty penetration (§1.3, §2.5), so a retailer reporting at Standard tier or above should disclose the deterministic share of its incrementality sample separately from any probabilistically extended portion, consistent with the portable-disclosure principle set out at the start of this document.</w:t>
      </w:r>
    </w:p>
    <w:p w14:paraId="5C267182" w14:textId="77777777" w:rsidR="00A2611F" w:rsidRDefault="00000000">
      <w:pPr>
        <w:pStyle w:val="ListParagraph"/>
        <w:numPr>
          <w:ilvl w:val="0"/>
          <w:numId w:val="1"/>
        </w:numPr>
        <w:spacing w:after="100" w:line="276" w:lineRule="auto"/>
        <w:jc w:val="both"/>
      </w:pPr>
      <w:r>
        <w:rPr>
          <w:b/>
          <w:bCs/>
        </w:rPr>
        <w:t xml:space="preserve">Media spend data </w:t>
      </w:r>
      <w:r>
        <w:t>— deterministic, sourced from impression or click tracking and campaign systems; kept consistent across channels and periods.</w:t>
      </w:r>
    </w:p>
    <w:p w14:paraId="49DD814F" w14:textId="77777777" w:rsidR="00A2611F" w:rsidRDefault="00000000">
      <w:pPr>
        <w:pStyle w:val="ListParagraph"/>
        <w:numPr>
          <w:ilvl w:val="0"/>
          <w:numId w:val="1"/>
        </w:numPr>
        <w:spacing w:after="100" w:line="276" w:lineRule="auto"/>
        <w:jc w:val="both"/>
      </w:pPr>
      <w:r>
        <w:rPr>
          <w:b/>
          <w:bCs/>
        </w:rPr>
        <w:t xml:space="preserve">Sales / POS data </w:t>
      </w:r>
      <w:r>
        <w:t>— deterministic, the KPI the design aims to explain; consistency across time periods and store formats should be disclosed given SA's cash and loyalty-linkage constraints (§1.3).</w:t>
      </w:r>
    </w:p>
    <w:p w14:paraId="51B6A1EB" w14:textId="77777777" w:rsidR="00A2611F" w:rsidRDefault="00000000">
      <w:pPr>
        <w:pStyle w:val="ListParagraph"/>
        <w:numPr>
          <w:ilvl w:val="0"/>
          <w:numId w:val="1"/>
        </w:numPr>
        <w:spacing w:after="100" w:line="276" w:lineRule="auto"/>
        <w:jc w:val="both"/>
      </w:pPr>
      <w:r>
        <w:rPr>
          <w:b/>
          <w:bCs/>
        </w:rPr>
        <w:t xml:space="preserve">Competitor and market-condition data </w:t>
      </w:r>
      <w:r>
        <w:t>— where available, used to control for confounders named in §3.1.1; third-party sources should be disclosed for reliability.</w:t>
      </w:r>
    </w:p>
    <w:p w14:paraId="666E95A0" w14:textId="77777777" w:rsidR="00A2611F" w:rsidRDefault="00000000">
      <w:pPr>
        <w:pStyle w:val="ListParagraph"/>
        <w:numPr>
          <w:ilvl w:val="0"/>
          <w:numId w:val="1"/>
        </w:numPr>
        <w:spacing w:after="100" w:line="276" w:lineRule="auto"/>
        <w:jc w:val="both"/>
      </w:pPr>
      <w:r>
        <w:rPr>
          <w:b/>
          <w:bCs/>
        </w:rPr>
        <w:t xml:space="preserve">Consumer attitudinal data </w:t>
      </w:r>
      <w:r>
        <w:t>— probabilistic, sourced from surveys; feeds Brand Lift (§3.5) rather than sales incrementality, and the two should not be blended.</w:t>
      </w:r>
    </w:p>
    <w:p w14:paraId="3B6F127D" w14:textId="77777777" w:rsidR="00A2611F" w:rsidRDefault="00000000">
      <w:pPr>
        <w:pStyle w:val="Heading3"/>
      </w:pPr>
      <w:r>
        <w:t>3.1.5 Choosing a Method by Business Question</w:t>
      </w:r>
    </w:p>
    <w:p w14:paraId="2F250673" w14:textId="77777777" w:rsidR="00A2611F" w:rsidRDefault="00000000">
      <w:pPr>
        <w:spacing w:after="160" w:line="276" w:lineRule="auto"/>
        <w:jc w:val="both"/>
      </w:pPr>
      <w:r>
        <w:t>A method should be chosen for the decision it needs to support, not for the data that happens to be easiest to pull. The table below condenses recognized international use-case guidance to the questions most relevant to an SA retailer-brand relationship, and links directly back to the buyer guidance in §5.2.</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600"/>
        <w:gridCol w:w="5800"/>
      </w:tblGrid>
      <w:tr w:rsidR="00A2611F" w14:paraId="033F1AD0" w14:textId="77777777">
        <w:trPr>
          <w:tblHeader/>
        </w:trPr>
        <w:tc>
          <w:tcPr>
            <w:tcW w:w="2400" w:type="dxa"/>
            <w:shd w:val="clear" w:color="auto" w:fill="D9D9D9"/>
            <w:vAlign w:val="center"/>
          </w:tcPr>
          <w:p w14:paraId="3A7536BB" w14:textId="77777777" w:rsidR="00A2611F" w:rsidRDefault="00000000">
            <w:r>
              <w:rPr>
                <w:b/>
                <w:bCs/>
                <w:sz w:val="16"/>
                <w:szCs w:val="16"/>
              </w:rPr>
              <w:t>Business need</w:t>
            </w:r>
          </w:p>
        </w:tc>
        <w:tc>
          <w:tcPr>
            <w:tcW w:w="2600" w:type="dxa"/>
            <w:shd w:val="clear" w:color="auto" w:fill="D9D9D9"/>
            <w:vAlign w:val="center"/>
          </w:tcPr>
          <w:p w14:paraId="3DC16C51" w14:textId="77777777" w:rsidR="00A2611F" w:rsidRDefault="00000000">
            <w:r>
              <w:rPr>
                <w:b/>
                <w:bCs/>
                <w:sz w:val="16"/>
                <w:szCs w:val="16"/>
              </w:rPr>
              <w:t>Best-fit method(s)</w:t>
            </w:r>
          </w:p>
        </w:tc>
        <w:tc>
          <w:tcPr>
            <w:tcW w:w="5800" w:type="dxa"/>
            <w:shd w:val="clear" w:color="auto" w:fill="D9D9D9"/>
            <w:vAlign w:val="center"/>
          </w:tcPr>
          <w:p w14:paraId="406524BC" w14:textId="77777777" w:rsidR="00A2611F" w:rsidRDefault="00000000">
            <w:r>
              <w:rPr>
                <w:b/>
                <w:bCs/>
                <w:sz w:val="16"/>
                <w:szCs w:val="16"/>
              </w:rPr>
              <w:t>SA-context note</w:t>
            </w:r>
          </w:p>
        </w:tc>
      </w:tr>
      <w:tr w:rsidR="00A2611F" w14:paraId="0756C4E5" w14:textId="77777777">
        <w:tc>
          <w:tcPr>
            <w:tcW w:w="2400" w:type="dxa"/>
          </w:tcPr>
          <w:p w14:paraId="26F46139" w14:textId="77777777" w:rsidR="00A2611F" w:rsidRDefault="00000000">
            <w:pPr>
              <w:spacing w:after="40"/>
            </w:pPr>
            <w:r>
              <w:rPr>
                <w:sz w:val="16"/>
                <w:szCs w:val="16"/>
              </w:rPr>
              <w:t>Validate ROI of RMN investment</w:t>
            </w:r>
          </w:p>
        </w:tc>
        <w:tc>
          <w:tcPr>
            <w:tcW w:w="2600" w:type="dxa"/>
          </w:tcPr>
          <w:p w14:paraId="0842A260" w14:textId="77777777" w:rsidR="00A2611F" w:rsidRDefault="00000000">
            <w:pPr>
              <w:spacing w:after="40"/>
            </w:pPr>
            <w:r>
              <w:rPr>
                <w:sz w:val="16"/>
                <w:szCs w:val="16"/>
              </w:rPr>
              <w:t>Experiment-based (RCT or matched-market)</w:t>
            </w:r>
          </w:p>
        </w:tc>
        <w:tc>
          <w:tcPr>
            <w:tcW w:w="5800" w:type="dxa"/>
          </w:tcPr>
          <w:p w14:paraId="7F5BFF1C" w14:textId="77777777" w:rsidR="00A2611F" w:rsidRDefault="00000000">
            <w:pPr>
              <w:spacing w:after="40"/>
            </w:pPr>
            <w:r>
              <w:rPr>
                <w:sz w:val="16"/>
                <w:szCs w:val="16"/>
              </w:rPr>
              <w:t>The gold standard for proving lift on a specific SKU or promotion, and the method a buyer should require before a budget-renewal decision.</w:t>
            </w:r>
          </w:p>
        </w:tc>
      </w:tr>
      <w:tr w:rsidR="00A2611F" w14:paraId="3B255D19" w14:textId="77777777">
        <w:tc>
          <w:tcPr>
            <w:tcW w:w="2400" w:type="dxa"/>
          </w:tcPr>
          <w:p w14:paraId="26CC3213" w14:textId="77777777" w:rsidR="00A2611F" w:rsidRDefault="00000000">
            <w:pPr>
              <w:spacing w:after="40"/>
            </w:pPr>
            <w:r>
              <w:rPr>
                <w:sz w:val="16"/>
                <w:szCs w:val="16"/>
              </w:rPr>
              <w:t>Compare performance across RMNs</w:t>
            </w:r>
          </w:p>
        </w:tc>
        <w:tc>
          <w:tcPr>
            <w:tcW w:w="2600" w:type="dxa"/>
          </w:tcPr>
          <w:p w14:paraId="02A9D52D" w14:textId="77777777" w:rsidR="00A2611F" w:rsidRDefault="00000000">
            <w:pPr>
              <w:spacing w:after="40"/>
            </w:pPr>
            <w:r>
              <w:rPr>
                <w:sz w:val="16"/>
                <w:szCs w:val="16"/>
              </w:rPr>
              <w:t>Econometric (MMM) preferred; experiment-based rarely practical across networks</w:t>
            </w:r>
          </w:p>
        </w:tc>
        <w:tc>
          <w:tcPr>
            <w:tcW w:w="5800" w:type="dxa"/>
          </w:tcPr>
          <w:p w14:paraId="4863E3C2" w14:textId="77777777" w:rsidR="00A2611F" w:rsidRDefault="00000000">
            <w:pPr>
              <w:spacing w:after="40"/>
            </w:pPr>
            <w:r>
              <w:rPr>
                <w:sz w:val="16"/>
                <w:szCs w:val="16"/>
              </w:rPr>
              <w:t>Cross-RMN comparison inside a single experiment is rarely feasible given siloed identity; use the tier-normalisation guidance in §5.2 where MMM is not yet available.</w:t>
            </w:r>
          </w:p>
        </w:tc>
      </w:tr>
      <w:tr w:rsidR="00A2611F" w14:paraId="6DCE5572" w14:textId="77777777">
        <w:tc>
          <w:tcPr>
            <w:tcW w:w="2400" w:type="dxa"/>
          </w:tcPr>
          <w:p w14:paraId="23716DD6" w14:textId="77777777" w:rsidR="00A2611F" w:rsidRDefault="00000000">
            <w:pPr>
              <w:spacing w:after="40"/>
            </w:pPr>
            <w:r>
              <w:rPr>
                <w:sz w:val="16"/>
                <w:szCs w:val="16"/>
              </w:rPr>
              <w:t>Optimise an always-on campaign</w:t>
            </w:r>
          </w:p>
        </w:tc>
        <w:tc>
          <w:tcPr>
            <w:tcW w:w="2600" w:type="dxa"/>
          </w:tcPr>
          <w:p w14:paraId="518F77D8" w14:textId="77777777" w:rsidR="00A2611F" w:rsidRDefault="00000000">
            <w:pPr>
              <w:spacing w:after="40"/>
            </w:pPr>
            <w:r>
              <w:rPr>
                <w:sz w:val="16"/>
                <w:szCs w:val="16"/>
              </w:rPr>
              <w:t>Model-based counterfactual, or small experiment-based holdouts</w:t>
            </w:r>
          </w:p>
        </w:tc>
        <w:tc>
          <w:tcPr>
            <w:tcW w:w="5800" w:type="dxa"/>
          </w:tcPr>
          <w:p w14:paraId="07F56FCA" w14:textId="77777777" w:rsidR="00A2611F" w:rsidRDefault="00000000">
            <w:pPr>
              <w:spacing w:after="40"/>
            </w:pPr>
            <w:r>
              <w:rPr>
                <w:sz w:val="16"/>
                <w:szCs w:val="16"/>
              </w:rPr>
              <w:t>Continuous counterfactual estimation suits an always-on flight better than a one-off RCT.</w:t>
            </w:r>
          </w:p>
        </w:tc>
      </w:tr>
      <w:tr w:rsidR="00A2611F" w14:paraId="7CBE4451" w14:textId="77777777">
        <w:tc>
          <w:tcPr>
            <w:tcW w:w="2400" w:type="dxa"/>
          </w:tcPr>
          <w:p w14:paraId="1FB0F80B" w14:textId="77777777" w:rsidR="00A2611F" w:rsidRDefault="00000000">
            <w:pPr>
              <w:spacing w:after="40"/>
            </w:pPr>
            <w:r>
              <w:rPr>
                <w:sz w:val="16"/>
                <w:szCs w:val="16"/>
              </w:rPr>
              <w:t>Test a new tactic, format, or partner</w:t>
            </w:r>
          </w:p>
        </w:tc>
        <w:tc>
          <w:tcPr>
            <w:tcW w:w="2600" w:type="dxa"/>
          </w:tcPr>
          <w:p w14:paraId="63287AC3" w14:textId="77777777" w:rsidR="00A2611F" w:rsidRDefault="00000000">
            <w:pPr>
              <w:spacing w:after="40"/>
            </w:pPr>
            <w:r>
              <w:rPr>
                <w:sz w:val="16"/>
                <w:szCs w:val="16"/>
              </w:rPr>
              <w:t>Experiment-based</w:t>
            </w:r>
          </w:p>
        </w:tc>
        <w:tc>
          <w:tcPr>
            <w:tcW w:w="5800" w:type="dxa"/>
          </w:tcPr>
          <w:p w14:paraId="22FA7098" w14:textId="77777777" w:rsidR="00A2611F" w:rsidRDefault="00000000">
            <w:pPr>
              <w:spacing w:after="40"/>
            </w:pPr>
            <w:r>
              <w:rPr>
                <w:sz w:val="16"/>
                <w:szCs w:val="16"/>
              </w:rPr>
              <w:t>Best-in-class for a clean causal readout on something genuinely new; not a task for hybrid proxies.</w:t>
            </w:r>
          </w:p>
        </w:tc>
      </w:tr>
      <w:tr w:rsidR="00A2611F" w14:paraId="34E28037" w14:textId="77777777">
        <w:tc>
          <w:tcPr>
            <w:tcW w:w="2400" w:type="dxa"/>
          </w:tcPr>
          <w:p w14:paraId="2A4FD41C" w14:textId="77777777" w:rsidR="00A2611F" w:rsidRDefault="00000000">
            <w:pPr>
              <w:spacing w:after="40"/>
            </w:pPr>
            <w:r>
              <w:rPr>
                <w:sz w:val="16"/>
                <w:szCs w:val="16"/>
              </w:rPr>
              <w:t>Allocate budget across commerce-media channels</w:t>
            </w:r>
          </w:p>
        </w:tc>
        <w:tc>
          <w:tcPr>
            <w:tcW w:w="2600" w:type="dxa"/>
          </w:tcPr>
          <w:p w14:paraId="5388F33D" w14:textId="77777777" w:rsidR="00A2611F" w:rsidRDefault="00000000">
            <w:pPr>
              <w:spacing w:after="40"/>
            </w:pPr>
            <w:r>
              <w:rPr>
                <w:sz w:val="16"/>
                <w:szCs w:val="16"/>
              </w:rPr>
              <w:t>Econometric (MMM), §3.2</w:t>
            </w:r>
          </w:p>
        </w:tc>
        <w:tc>
          <w:tcPr>
            <w:tcW w:w="5800" w:type="dxa"/>
          </w:tcPr>
          <w:p w14:paraId="47E8466C" w14:textId="77777777" w:rsidR="00A2611F" w:rsidRDefault="00000000">
            <w:pPr>
              <w:spacing w:after="40"/>
            </w:pPr>
            <w:r>
              <w:rPr>
                <w:sz w:val="16"/>
                <w:szCs w:val="16"/>
              </w:rPr>
              <w:t>Designed for this question; a campaign-level incrementality result should inform, not replace, the MMM inputs.</w:t>
            </w:r>
          </w:p>
        </w:tc>
      </w:tr>
      <w:tr w:rsidR="00A2611F" w14:paraId="47A9AD19" w14:textId="77777777">
        <w:tc>
          <w:tcPr>
            <w:tcW w:w="2400" w:type="dxa"/>
          </w:tcPr>
          <w:p w14:paraId="705D95CB" w14:textId="77777777" w:rsidR="00A2611F" w:rsidRDefault="00000000">
            <w:pPr>
              <w:spacing w:after="40"/>
            </w:pPr>
            <w:r>
              <w:rPr>
                <w:sz w:val="16"/>
                <w:szCs w:val="16"/>
              </w:rPr>
              <w:t>Calibrate or validate a platform-reported lift figure</w:t>
            </w:r>
          </w:p>
        </w:tc>
        <w:tc>
          <w:tcPr>
            <w:tcW w:w="2600" w:type="dxa"/>
          </w:tcPr>
          <w:p w14:paraId="51488874" w14:textId="77777777" w:rsidR="00A2611F" w:rsidRDefault="00000000">
            <w:pPr>
              <w:spacing w:after="40"/>
            </w:pPr>
            <w:r>
              <w:rPr>
                <w:sz w:val="16"/>
                <w:szCs w:val="16"/>
              </w:rPr>
              <w:t>Experiment-based, used as ground truth</w:t>
            </w:r>
          </w:p>
        </w:tc>
        <w:tc>
          <w:tcPr>
            <w:tcW w:w="5800" w:type="dxa"/>
          </w:tcPr>
          <w:p w14:paraId="66A79FC8" w14:textId="77777777" w:rsidR="00A2611F" w:rsidRDefault="00000000">
            <w:pPr>
              <w:spacing w:after="40"/>
            </w:pPr>
            <w:r>
              <w:rPr>
                <w:sz w:val="16"/>
                <w:szCs w:val="16"/>
              </w:rPr>
              <w:t>Directly answers the “spot match-back dressed as incrementality” question in §5.2.</w:t>
            </w:r>
          </w:p>
        </w:tc>
      </w:tr>
    </w:tbl>
    <w:p w14:paraId="53627212" w14:textId="77777777" w:rsidR="00A2611F" w:rsidRDefault="00000000">
      <w:pPr>
        <w:spacing w:before="100" w:after="220"/>
      </w:pPr>
      <w:r>
        <w:rPr>
          <w:i/>
          <w:iCs/>
          <w:color w:val="444444"/>
          <w:sz w:val="18"/>
          <w:szCs w:val="18"/>
        </w:rPr>
        <w:t>Adapted from current recognized international guidance for incremental measurement in commerce media.</w:t>
      </w:r>
    </w:p>
    <w:p w14:paraId="02BEFC27" w14:textId="77777777" w:rsidR="00A2611F" w:rsidRDefault="00000000">
      <w:pPr>
        <w:spacing w:after="160" w:line="276" w:lineRule="auto"/>
        <w:jc w:val="both"/>
      </w:pPr>
      <w:r>
        <w:t>This tiering is the practical path to inclusion: a less-mature retailer can report a directional before/after result honestly, while an advanced retailer is not capped and can report an RCT, provided each is labelled for what it is and directional-sales-lift results are never presented under the incrementality or iROAS label.</w:t>
      </w:r>
    </w:p>
    <w:p w14:paraId="73DC0EF3" w14:textId="77777777" w:rsidR="00A2611F" w:rsidRDefault="00000000">
      <w:pPr>
        <w:pStyle w:val="Heading2"/>
      </w:pPr>
      <w:r>
        <w:t>3.2 Marketing Mix Modelling (MMM)</w:t>
      </w:r>
    </w:p>
    <w:p w14:paraId="5C36759E" w14:textId="77777777" w:rsidR="00A2611F" w:rsidRDefault="00000000">
      <w:pPr>
        <w:spacing w:after="160" w:line="276" w:lineRule="auto"/>
        <w:jc w:val="both"/>
      </w:pPr>
      <w:r>
        <w:t>MMM attributes outcomes to media at an aggregate level and is the brand-side integration point for retail media into total marketing measurement. The retailer's obligation is the data export that makes brand MMM possible.</w:t>
      </w:r>
    </w:p>
    <w:p w14:paraId="304B0A30" w14:textId="77777777" w:rsidR="00A2611F" w:rsidRDefault="00000000">
      <w:pPr>
        <w:spacing w:after="160" w:line="276" w:lineRule="auto"/>
        <w:jc w:val="both"/>
      </w:pPr>
      <w:r>
        <w:t xml:space="preserve">MMM Data Export, defined. This is a data-delivery capability, not a modelling output: daily or weekly impressions, clicks, spend, and audience or region breakdowns by format, placement, and campaign, supplied in a form a brand's MMM team can ingest directly. This export is an Advanced-tier capability in this market, and its completeness — which fields, at what grain, over what history — should itself be disclosed rather than assumed from the tier label alone. MMM does not replace </w:t>
      </w:r>
      <w:r>
        <w:lastRenderedPageBreak/>
        <w:t>incrementality; it operates at a different altitude, and the two should be read together rather than substituted for one another.</w:t>
      </w:r>
    </w:p>
    <w:p w14:paraId="49D29A78" w14:textId="77777777" w:rsidR="00A2611F" w:rsidRDefault="00000000">
      <w:pPr>
        <w:pStyle w:val="Heading2"/>
      </w:pPr>
      <w:r>
        <w:t>3.3 Multi-Touch Attribution (MTA)</w:t>
      </w:r>
    </w:p>
    <w:p w14:paraId="2F7CCEED" w14:textId="77777777" w:rsidR="00A2611F" w:rsidRDefault="00000000">
      <w:pPr>
        <w:spacing w:after="160" w:line="276" w:lineRule="auto"/>
        <w:jc w:val="both"/>
      </w:pPr>
      <w:r>
        <w:t>MTA distributes credit for a single outcome across the multiple touchpoints that preceded it, spanning on-site, off-site, and in-store. It is powerful and easily abused: the allocation model determines the answer, so the model must be disclosed. At Standard tier, rules-based multi-touch with a disclosed model is acceptable; at Advanced, data-driven attribution with deterministic linkage is expected where possible. MTA depends on the same identity spine as cross-channel attribution (§2.5) and inherits the same SA constraint: coverage is bounded by loyalty linkage, and the unlinked remainder must be disclosed.</w:t>
      </w:r>
    </w:p>
    <w:p w14:paraId="621B3210" w14:textId="77777777" w:rsidR="00A2611F" w:rsidRDefault="00000000">
      <w:pPr>
        <w:pStyle w:val="Heading2"/>
      </w:pPr>
      <w:r>
        <w:t>3.4 Incremental Customer Lifetime Value (CLTV)</w:t>
      </w:r>
    </w:p>
    <w:p w14:paraId="485C7318" w14:textId="77777777" w:rsidR="00A2611F" w:rsidRDefault="00000000">
      <w:pPr>
        <w:spacing w:after="160" w:line="276" w:lineRule="auto"/>
        <w:jc w:val="both"/>
      </w:pPr>
      <w:r>
        <w:t>Incremental CLTV is the long-horizon counterpart to incremental sales: the additional lifetime profit attributable to customers acquired or reactivated through the campaign, above what the control baseline would predict. It belongs in advanced measurement because it compounds two modelled quantities — the incrementality estimate and the lifetime-value projection — and each carries its own disclosure burden. Reported well, it reframes retail media from a short-window ROAS instrument into a customer-equity one; reported without its assumptions, it is the easiest figure in the standard to inflate.</w:t>
      </w:r>
    </w:p>
    <w:p w14:paraId="1DB82D0C" w14:textId="77777777" w:rsidR="00A2611F" w:rsidRDefault="00000000">
      <w:pPr>
        <w:pStyle w:val="Heading2"/>
      </w:pPr>
      <w:r>
        <w:t>3.5 Brand Lift</w:t>
      </w:r>
    </w:p>
    <w:p w14:paraId="3DA4EA38" w14:textId="77777777" w:rsidR="00A2611F" w:rsidRDefault="00000000">
      <w:pPr>
        <w:spacing w:after="160" w:line="276" w:lineRule="auto"/>
        <w:jc w:val="both"/>
      </w:pPr>
      <w:r>
        <w:t>Brand Lift is survey-based measurement of recall, awareness, or purchase intent among an exposed group versus a matched unexposed control group. It is related to, but distinct from, sales incrementality — it measures a change in attitude or stated intent rather than a change in purchase behaviour — and it must never be presented as a proxy for iROAS or blended with a sales-incrementality figure without being clearly separated.</w:t>
      </w:r>
    </w:p>
    <w:p w14:paraId="7ABA3D68" w14:textId="77777777" w:rsidR="00A2611F" w:rsidRDefault="00000000">
      <w:r>
        <w:br w:type="page"/>
      </w:r>
    </w:p>
    <w:p w14:paraId="55D2C188" w14:textId="77777777" w:rsidR="00A2611F" w:rsidRDefault="00000000">
      <w:pPr>
        <w:pStyle w:val="Heading1"/>
      </w:pPr>
      <w:r>
        <w:lastRenderedPageBreak/>
        <w:t>4. In-Store</w:t>
      </w:r>
    </w:p>
    <w:p w14:paraId="115756E6" w14:textId="77777777" w:rsidR="00A2611F" w:rsidRDefault="00000000">
      <w:pPr>
        <w:pStyle w:val="Heading2"/>
      </w:pPr>
      <w:r>
        <w:t>4.1 Why In-Store Is the Defining Challenge</w:t>
      </w:r>
    </w:p>
    <w:p w14:paraId="5EAD7CE3" w14:textId="77777777" w:rsidR="00A2611F" w:rsidRDefault="00000000">
      <w:pPr>
        <w:spacing w:after="160" w:line="276" w:lineRule="auto"/>
        <w:jc w:val="both"/>
      </w:pPr>
      <w:r>
        <w:t>South Africa is a predominantly physical retail market. The majority of shopper exposure and the majority of sales happen in stores, often paid for in cash, and the sensor and instrumentation infrastructure that mature markets use to measure physical retail media is largely not yet deployed. This means the in-store opportunity is large and the in-store measurement base is thin — the exact conditions under which a shared standard, honestly tiered, is most valuable.</w:t>
      </w:r>
    </w:p>
    <w:p w14:paraId="409CE74F" w14:textId="77777777" w:rsidR="00A2611F" w:rsidRDefault="00000000">
      <w:pPr>
        <w:pStyle w:val="Heading2"/>
      </w:pPr>
      <w:r>
        <w:t>4.2 The Maturity Spine</w:t>
      </w:r>
    </w:p>
    <w:p w14:paraId="5E62892E" w14:textId="77777777" w:rsidR="00A2611F" w:rsidRDefault="00000000">
      <w:pPr>
        <w:spacing w:after="160" w:line="276" w:lineRule="auto"/>
        <w:jc w:val="both"/>
      </w:pPr>
      <w:r>
        <w:t>This standard separates two tracks that an earlier draft conflated: an impression-side track, which measures ad delivery, and a reach-side track, which measures deduplicated audience. Both matter, and a retailer should be clear about which one a given number belongs to.</w:t>
      </w:r>
    </w:p>
    <w:p w14:paraId="05358E7E" w14:textId="77777777" w:rsidR="00A2611F" w:rsidRDefault="00000000">
      <w:pPr>
        <w:spacing w:after="160" w:line="276" w:lineRule="auto"/>
        <w:jc w:val="both"/>
      </w:pPr>
      <w:r>
        <w:rPr>
          <w:b/>
          <w:bCs/>
        </w:rPr>
        <w:t xml:space="preserve">Impression-side: </w:t>
      </w:r>
      <w:r>
        <w:t>Traffic → OTS → Verified Playout → Verified Impression. Traffic is the base of the spine: a raw, undeduplicated count of people entering a store or zone. Refined by zone calibration and content-loop timing, Traffic becomes Opportunity to See (OTS) — an estimate of how many people had the opportunity to see a specific unit during its content loop, still undeduplicated. Verified Playout confirms via sensor or logged play data that the ad content itself actually played in the zone during the measurement window — the in-store analogue of ad-server delivery reconciliation, and distinct from confirming that any particular shopper saw it. A Verified Impression combines a verified playout with a verified shopper presence, confirming that presence and playout were time-aligned.</w:t>
      </w:r>
    </w:p>
    <w:p w14:paraId="72A83703" w14:textId="77777777" w:rsidR="00A2611F" w:rsidRDefault="00000000">
      <w:pPr>
        <w:spacing w:after="160" w:line="276" w:lineRule="auto"/>
        <w:jc w:val="both"/>
      </w:pPr>
      <w:r>
        <w:rPr>
          <w:b/>
          <w:bCs/>
        </w:rPr>
        <w:t xml:space="preserve">Reach-side: </w:t>
      </w:r>
      <w:r>
        <w:t>Estimated Unique Reach → Verified Reach. Estimated Unique Reach is a deduplicated estimate of individuals with the opportunity to see, modelled from traffic and loop data. Verified Reach is the sensor- or panel-validated deduplicated figure. Separating this from the impression-side spine avoids a retailer reporting a deduplicated reach number in a cell that reads, to a buyer, as an impression-volume figure.</w:t>
      </w:r>
    </w:p>
    <w:p w14:paraId="3A53539E" w14:textId="77777777" w:rsidR="00A2611F" w:rsidRDefault="00000000">
      <w:pPr>
        <w:spacing w:after="160" w:line="276" w:lineRule="auto"/>
        <w:jc w:val="both"/>
      </w:pPr>
      <w:r>
        <w:t>Most SA retailers today sit at the Traffic-as-OTS-proxy end of this spine. The standard treats that as a legitimate starting position for a market still building sensor infrastructure, not a failure, and defines the steps upward on both tracks.</w:t>
      </w:r>
    </w:p>
    <w:p w14:paraId="29BBB309" w14:textId="77777777" w:rsidR="00A2611F" w:rsidRDefault="00000000">
      <w:pPr>
        <w:pStyle w:val="Heading2"/>
      </w:pPr>
      <w:r>
        <w:t>4.3 The SA-Realistic Entry Point</w:t>
      </w:r>
    </w:p>
    <w:p w14:paraId="20D0238F" w14:textId="77777777" w:rsidR="00A2611F" w:rsidRDefault="00000000">
      <w:pPr>
        <w:spacing w:after="160" w:line="276" w:lineRule="auto"/>
        <w:jc w:val="both"/>
      </w:pPr>
      <w:r>
        <w:t>The pragmatic on-ramp for South African retailers is not sensor infrastructure; it is attribution they already have the data to produce. Where a loyalty ID links an in-store exposure to a point-of-sale transaction, a retailer can report POS-linked attributed sales and run control-store lift tests, both grounded in transaction data rather than sensors. This lets a retailer demonstrate in-store media value at Standard tier while sensor-based audience measurement is still being built. Attribution first, audience precision second, is the realistic SA sequence.</w:t>
      </w:r>
    </w:p>
    <w:p w14:paraId="6BF0DCC5" w14:textId="77777777" w:rsidR="00A2611F" w:rsidRDefault="00000000">
      <w:pPr>
        <w:pStyle w:val="Heading2"/>
      </w:pPr>
      <w:r>
        <w:t>4.4 In-Store Metric Standards</w:t>
      </w:r>
    </w:p>
    <w:p w14:paraId="125257C6" w14:textId="77777777" w:rsidR="00A2611F" w:rsidRDefault="00000000">
      <w:pPr>
        <w:spacing w:after="160" w:line="276" w:lineRule="auto"/>
        <w:jc w:val="both"/>
      </w:pPr>
      <w:r>
        <w:t>The in-store metrics, tiered. Audience metrics climb the two-track spine above; sales metrics build on loyalty-linked POS data. In-store media units in scope include digital screens, static or print placements, and in-store audio or radio networks; playout confirmation applies equally across all three.</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4600"/>
        <w:gridCol w:w="2100"/>
        <w:gridCol w:w="2100"/>
      </w:tblGrid>
      <w:tr w:rsidR="00A2611F" w14:paraId="721217A1" w14:textId="77777777">
        <w:trPr>
          <w:tblHeader/>
        </w:trPr>
        <w:tc>
          <w:tcPr>
            <w:tcW w:w="2000" w:type="dxa"/>
            <w:shd w:val="clear" w:color="auto" w:fill="D9D9D9"/>
            <w:vAlign w:val="center"/>
          </w:tcPr>
          <w:p w14:paraId="7BFDF11C" w14:textId="77777777" w:rsidR="00A2611F" w:rsidRDefault="00000000">
            <w:r>
              <w:rPr>
                <w:b/>
                <w:bCs/>
                <w:sz w:val="16"/>
                <w:szCs w:val="16"/>
              </w:rPr>
              <w:t>Metric</w:t>
            </w:r>
          </w:p>
        </w:tc>
        <w:tc>
          <w:tcPr>
            <w:tcW w:w="4600" w:type="dxa"/>
            <w:shd w:val="clear" w:color="auto" w:fill="D9D9D9"/>
            <w:vAlign w:val="center"/>
          </w:tcPr>
          <w:p w14:paraId="5817C97D" w14:textId="77777777" w:rsidR="00A2611F" w:rsidRDefault="00000000">
            <w:r>
              <w:rPr>
                <w:b/>
                <w:bCs/>
                <w:sz w:val="16"/>
                <w:szCs w:val="16"/>
              </w:rPr>
              <w:t>Definition</w:t>
            </w:r>
          </w:p>
        </w:tc>
        <w:tc>
          <w:tcPr>
            <w:tcW w:w="2100" w:type="dxa"/>
            <w:shd w:val="clear" w:color="auto" w:fill="D9D9D9"/>
            <w:vAlign w:val="center"/>
          </w:tcPr>
          <w:p w14:paraId="2399A63D" w14:textId="77777777" w:rsidR="00A2611F" w:rsidRDefault="00000000">
            <w:r>
              <w:rPr>
                <w:b/>
                <w:bCs/>
                <w:sz w:val="16"/>
                <w:szCs w:val="16"/>
              </w:rPr>
              <w:t>Standard</w:t>
            </w:r>
          </w:p>
        </w:tc>
        <w:tc>
          <w:tcPr>
            <w:tcW w:w="2100" w:type="dxa"/>
            <w:shd w:val="clear" w:color="auto" w:fill="D9D9D9"/>
            <w:vAlign w:val="center"/>
          </w:tcPr>
          <w:p w14:paraId="588B463B" w14:textId="77777777" w:rsidR="00A2611F" w:rsidRDefault="00000000">
            <w:r>
              <w:rPr>
                <w:b/>
                <w:bCs/>
                <w:sz w:val="16"/>
                <w:szCs w:val="16"/>
              </w:rPr>
              <w:t>Advanced</w:t>
            </w:r>
          </w:p>
        </w:tc>
      </w:tr>
      <w:tr w:rsidR="00A2611F" w14:paraId="75EFA86D" w14:textId="77777777">
        <w:tc>
          <w:tcPr>
            <w:tcW w:w="2000" w:type="dxa"/>
          </w:tcPr>
          <w:p w14:paraId="3B215F4B" w14:textId="77777777" w:rsidR="00A2611F" w:rsidRDefault="00000000">
            <w:pPr>
              <w:spacing w:after="40"/>
            </w:pPr>
            <w:r>
              <w:rPr>
                <w:sz w:val="16"/>
                <w:szCs w:val="16"/>
              </w:rPr>
              <w:t>In-Store Impressions</w:t>
            </w:r>
          </w:p>
        </w:tc>
        <w:tc>
          <w:tcPr>
            <w:tcW w:w="4600" w:type="dxa"/>
          </w:tcPr>
          <w:p w14:paraId="0A5197FE" w14:textId="77777777" w:rsidR="00A2611F" w:rsidRDefault="00000000">
            <w:pPr>
              <w:spacing w:after="40"/>
            </w:pPr>
            <w:r>
              <w:rPr>
                <w:sz w:val="16"/>
                <w:szCs w:val="16"/>
              </w:rPr>
              <w:t>Individuals in a zone with opportunity to see the unit (OTS), built on Traffic as the entry-level count.</w:t>
            </w:r>
          </w:p>
        </w:tc>
        <w:tc>
          <w:tcPr>
            <w:tcW w:w="2100" w:type="dxa"/>
          </w:tcPr>
          <w:p w14:paraId="77409348" w14:textId="77777777" w:rsidR="00A2611F" w:rsidRDefault="00000000">
            <w:pPr>
              <w:spacing w:after="40"/>
            </w:pPr>
            <w:r>
              <w:rPr>
                <w:sz w:val="16"/>
                <w:szCs w:val="16"/>
              </w:rPr>
              <w:t>Footfall/Traffic-based OTS, zone-calibrated, with the derivation method disclosed.</w:t>
            </w:r>
          </w:p>
        </w:tc>
        <w:tc>
          <w:tcPr>
            <w:tcW w:w="2100" w:type="dxa"/>
          </w:tcPr>
          <w:p w14:paraId="035F3136" w14:textId="77777777" w:rsidR="00A2611F" w:rsidRDefault="00000000">
            <w:pPr>
              <w:spacing w:after="40"/>
            </w:pPr>
            <w:r>
              <w:rPr>
                <w:sz w:val="16"/>
                <w:szCs w:val="16"/>
              </w:rPr>
              <w:t>Sensor-measured presence.</w:t>
            </w:r>
          </w:p>
        </w:tc>
      </w:tr>
      <w:tr w:rsidR="00A2611F" w14:paraId="1F425CD4" w14:textId="77777777">
        <w:tc>
          <w:tcPr>
            <w:tcW w:w="2000" w:type="dxa"/>
          </w:tcPr>
          <w:p w14:paraId="061D4634" w14:textId="77777777" w:rsidR="00A2611F" w:rsidRDefault="00000000">
            <w:pPr>
              <w:spacing w:after="40"/>
            </w:pPr>
            <w:r>
              <w:rPr>
                <w:sz w:val="16"/>
                <w:szCs w:val="16"/>
              </w:rPr>
              <w:t>Verified Playout</w:t>
            </w:r>
          </w:p>
        </w:tc>
        <w:tc>
          <w:tcPr>
            <w:tcW w:w="4600" w:type="dxa"/>
          </w:tcPr>
          <w:p w14:paraId="2C1ADBE2" w14:textId="77777777" w:rsidR="00A2611F" w:rsidRDefault="00000000">
            <w:pPr>
              <w:spacing w:after="40"/>
            </w:pPr>
            <w:r>
              <w:rPr>
                <w:sz w:val="16"/>
                <w:szCs w:val="16"/>
              </w:rPr>
              <w:t>Confirmation, via sensor or logged play data, that the ad content played in the zone during the measurement window — the delivery-side confirmation, distinct from shopper presence.</w:t>
            </w:r>
          </w:p>
        </w:tc>
        <w:tc>
          <w:tcPr>
            <w:tcW w:w="2100" w:type="dxa"/>
          </w:tcPr>
          <w:p w14:paraId="1D724046" w14:textId="77777777" w:rsidR="00A2611F" w:rsidRDefault="00000000">
            <w:pPr>
              <w:spacing w:after="40"/>
            </w:pPr>
            <w:r>
              <w:rPr>
                <w:sz w:val="16"/>
                <w:szCs w:val="16"/>
              </w:rPr>
              <w:t>Pilot on instrumented sites, playout logged, coverage disclosed.</w:t>
            </w:r>
          </w:p>
        </w:tc>
        <w:tc>
          <w:tcPr>
            <w:tcW w:w="2100" w:type="dxa"/>
          </w:tcPr>
          <w:p w14:paraId="431888BC" w14:textId="77777777" w:rsidR="00A2611F" w:rsidRDefault="00000000">
            <w:pPr>
              <w:spacing w:after="40"/>
            </w:pPr>
            <w:r>
              <w:rPr>
                <w:sz w:val="16"/>
                <w:szCs w:val="16"/>
              </w:rPr>
              <w:t>Verified playout as the reported standard for delivery reconciliation.</w:t>
            </w:r>
          </w:p>
        </w:tc>
      </w:tr>
      <w:tr w:rsidR="00A2611F" w14:paraId="01414006" w14:textId="77777777">
        <w:tc>
          <w:tcPr>
            <w:tcW w:w="2000" w:type="dxa"/>
          </w:tcPr>
          <w:p w14:paraId="4FF00443" w14:textId="77777777" w:rsidR="00A2611F" w:rsidRDefault="00000000">
            <w:pPr>
              <w:spacing w:after="40"/>
            </w:pPr>
            <w:r>
              <w:rPr>
                <w:sz w:val="16"/>
                <w:szCs w:val="16"/>
              </w:rPr>
              <w:lastRenderedPageBreak/>
              <w:t>Verified Impressions</w:t>
            </w:r>
          </w:p>
        </w:tc>
        <w:tc>
          <w:tcPr>
            <w:tcW w:w="4600" w:type="dxa"/>
          </w:tcPr>
          <w:p w14:paraId="45E0509C" w14:textId="77777777" w:rsidR="00A2611F" w:rsidRDefault="00000000">
            <w:pPr>
              <w:spacing w:after="40"/>
            </w:pPr>
            <w:r>
              <w:rPr>
                <w:sz w:val="16"/>
                <w:szCs w:val="16"/>
              </w:rPr>
              <w:t>Presence and ad playout confirmed time-aligned via sensor — Verified Playout combined with verified shopper presence.</w:t>
            </w:r>
          </w:p>
        </w:tc>
        <w:tc>
          <w:tcPr>
            <w:tcW w:w="2100" w:type="dxa"/>
          </w:tcPr>
          <w:p w14:paraId="49815B72" w14:textId="77777777" w:rsidR="00A2611F" w:rsidRDefault="00000000">
            <w:pPr>
              <w:spacing w:after="40"/>
            </w:pPr>
            <w:r>
              <w:rPr>
                <w:sz w:val="16"/>
                <w:szCs w:val="16"/>
              </w:rPr>
              <w:t>Pilot on instrumented sites, disclosed coverage.</w:t>
            </w:r>
          </w:p>
        </w:tc>
        <w:tc>
          <w:tcPr>
            <w:tcW w:w="2100" w:type="dxa"/>
          </w:tcPr>
          <w:p w14:paraId="029DF80A" w14:textId="77777777" w:rsidR="00A2611F" w:rsidRDefault="00000000">
            <w:pPr>
              <w:spacing w:after="40"/>
            </w:pPr>
            <w:r>
              <w:rPr>
                <w:sz w:val="16"/>
                <w:szCs w:val="16"/>
              </w:rPr>
              <w:t>Verified impression as the reported standard.</w:t>
            </w:r>
          </w:p>
        </w:tc>
      </w:tr>
      <w:tr w:rsidR="00A2611F" w14:paraId="576D4BE2" w14:textId="77777777">
        <w:tc>
          <w:tcPr>
            <w:tcW w:w="2000" w:type="dxa"/>
          </w:tcPr>
          <w:p w14:paraId="3F41D5FD" w14:textId="77777777" w:rsidR="00A2611F" w:rsidRDefault="00000000">
            <w:pPr>
              <w:spacing w:after="40"/>
            </w:pPr>
            <w:r>
              <w:rPr>
                <w:sz w:val="16"/>
                <w:szCs w:val="16"/>
              </w:rPr>
              <w:t>Estimated Unique Reach</w:t>
            </w:r>
          </w:p>
        </w:tc>
        <w:tc>
          <w:tcPr>
            <w:tcW w:w="4600" w:type="dxa"/>
          </w:tcPr>
          <w:p w14:paraId="5BBB1109" w14:textId="77777777" w:rsidR="00A2611F" w:rsidRDefault="00000000">
            <w:pPr>
              <w:spacing w:after="40"/>
            </w:pPr>
            <w:r>
              <w:rPr>
                <w:sz w:val="16"/>
                <w:szCs w:val="16"/>
              </w:rPr>
              <w:t>Deduplicated estimate of individuals with opportunity to see during the campaign, modelled from Traffic/OTS data.</w:t>
            </w:r>
          </w:p>
        </w:tc>
        <w:tc>
          <w:tcPr>
            <w:tcW w:w="2100" w:type="dxa"/>
          </w:tcPr>
          <w:p w14:paraId="328973F7" w14:textId="77777777" w:rsidR="00A2611F" w:rsidRDefault="00000000">
            <w:pPr>
              <w:spacing w:after="40"/>
            </w:pPr>
            <w:r>
              <w:rPr>
                <w:sz w:val="16"/>
                <w:szCs w:val="16"/>
              </w:rPr>
              <w:t>Footfall-derived deduplicated estimate, with the method disclosed.</w:t>
            </w:r>
          </w:p>
        </w:tc>
        <w:tc>
          <w:tcPr>
            <w:tcW w:w="2100" w:type="dxa"/>
          </w:tcPr>
          <w:p w14:paraId="5E32A192" w14:textId="77777777" w:rsidR="00A2611F" w:rsidRDefault="00000000">
            <w:pPr>
              <w:spacing w:after="40"/>
            </w:pPr>
            <w:r>
              <w:rPr>
                <w:sz w:val="16"/>
                <w:szCs w:val="16"/>
              </w:rPr>
              <w:t>— (progresses to Verified Reach)</w:t>
            </w:r>
          </w:p>
        </w:tc>
      </w:tr>
      <w:tr w:rsidR="00A2611F" w14:paraId="2117B454" w14:textId="77777777">
        <w:tc>
          <w:tcPr>
            <w:tcW w:w="2000" w:type="dxa"/>
          </w:tcPr>
          <w:p w14:paraId="170501E2" w14:textId="77777777" w:rsidR="00A2611F" w:rsidRDefault="00000000">
            <w:pPr>
              <w:spacing w:after="40"/>
            </w:pPr>
            <w:r>
              <w:rPr>
                <w:sz w:val="16"/>
                <w:szCs w:val="16"/>
              </w:rPr>
              <w:t>Verified Reach</w:t>
            </w:r>
          </w:p>
        </w:tc>
        <w:tc>
          <w:tcPr>
            <w:tcW w:w="4600" w:type="dxa"/>
          </w:tcPr>
          <w:p w14:paraId="3625FA58" w14:textId="77777777" w:rsidR="00A2611F" w:rsidRDefault="00000000">
            <w:pPr>
              <w:spacing w:after="40"/>
            </w:pPr>
            <w:r>
              <w:rPr>
                <w:sz w:val="16"/>
                <w:szCs w:val="16"/>
              </w:rPr>
              <w:t>Sensor- or panel-validated deduplicated reach.</w:t>
            </w:r>
          </w:p>
        </w:tc>
        <w:tc>
          <w:tcPr>
            <w:tcW w:w="2100" w:type="dxa"/>
          </w:tcPr>
          <w:p w14:paraId="6A01C122" w14:textId="77777777" w:rsidR="00A2611F" w:rsidRDefault="00000000">
            <w:pPr>
              <w:spacing w:after="40"/>
            </w:pPr>
            <w:r>
              <w:rPr>
                <w:sz w:val="16"/>
                <w:szCs w:val="16"/>
              </w:rPr>
              <w:t>Not required.</w:t>
            </w:r>
          </w:p>
        </w:tc>
        <w:tc>
          <w:tcPr>
            <w:tcW w:w="2100" w:type="dxa"/>
          </w:tcPr>
          <w:p w14:paraId="605B13E9" w14:textId="77777777" w:rsidR="00A2611F" w:rsidRDefault="00000000">
            <w:pPr>
              <w:spacing w:after="40"/>
            </w:pPr>
            <w:r>
              <w:rPr>
                <w:sz w:val="16"/>
                <w:szCs w:val="16"/>
              </w:rPr>
              <w:t>Sensor- or panel-validated.</w:t>
            </w:r>
          </w:p>
        </w:tc>
      </w:tr>
      <w:tr w:rsidR="00A2611F" w14:paraId="4BA55D81" w14:textId="77777777">
        <w:tc>
          <w:tcPr>
            <w:tcW w:w="2000" w:type="dxa"/>
          </w:tcPr>
          <w:p w14:paraId="256DB676" w14:textId="77777777" w:rsidR="00A2611F" w:rsidRDefault="00000000">
            <w:pPr>
              <w:spacing w:after="40"/>
            </w:pPr>
            <w:r>
              <w:rPr>
                <w:sz w:val="16"/>
                <w:szCs w:val="16"/>
              </w:rPr>
              <w:t>In-Store Frequency</w:t>
            </w:r>
          </w:p>
        </w:tc>
        <w:tc>
          <w:tcPr>
            <w:tcW w:w="4600" w:type="dxa"/>
          </w:tcPr>
          <w:p w14:paraId="7CFD8C54" w14:textId="77777777" w:rsidR="00A2611F" w:rsidRDefault="00000000">
            <w:pPr>
              <w:spacing w:after="40"/>
            </w:pPr>
            <w:r>
              <w:rPr>
                <w:sz w:val="16"/>
                <w:szCs w:val="16"/>
              </w:rPr>
              <w:t>Average exposures per unique shopper to the unit.</w:t>
            </w:r>
          </w:p>
        </w:tc>
        <w:tc>
          <w:tcPr>
            <w:tcW w:w="2100" w:type="dxa"/>
          </w:tcPr>
          <w:p w14:paraId="25FD6CF3" w14:textId="77777777" w:rsidR="00A2611F" w:rsidRDefault="00000000">
            <w:pPr>
              <w:spacing w:after="40"/>
            </w:pPr>
            <w:r>
              <w:rPr>
                <w:sz w:val="16"/>
                <w:szCs w:val="16"/>
              </w:rPr>
              <w:t>Modelled from traffic and loop.</w:t>
            </w:r>
          </w:p>
        </w:tc>
        <w:tc>
          <w:tcPr>
            <w:tcW w:w="2100" w:type="dxa"/>
          </w:tcPr>
          <w:p w14:paraId="064978A1" w14:textId="77777777" w:rsidR="00A2611F" w:rsidRDefault="00000000">
            <w:pPr>
              <w:spacing w:after="40"/>
            </w:pPr>
            <w:r>
              <w:rPr>
                <w:sz w:val="16"/>
                <w:szCs w:val="16"/>
              </w:rPr>
              <w:t>Measured from repeat presence.</w:t>
            </w:r>
          </w:p>
        </w:tc>
      </w:tr>
      <w:tr w:rsidR="00A2611F" w14:paraId="6493DBBA" w14:textId="77777777">
        <w:tc>
          <w:tcPr>
            <w:tcW w:w="2000" w:type="dxa"/>
          </w:tcPr>
          <w:p w14:paraId="2200ED5D" w14:textId="77777777" w:rsidR="00A2611F" w:rsidRDefault="00000000">
            <w:pPr>
              <w:spacing w:after="40"/>
            </w:pPr>
            <w:r>
              <w:rPr>
                <w:sz w:val="16"/>
                <w:szCs w:val="16"/>
              </w:rPr>
              <w:t>Zone-Level Audience</w:t>
            </w:r>
          </w:p>
        </w:tc>
        <w:tc>
          <w:tcPr>
            <w:tcW w:w="4600" w:type="dxa"/>
          </w:tcPr>
          <w:p w14:paraId="189ED7EA" w14:textId="77777777" w:rsidR="00A2611F" w:rsidRDefault="00000000">
            <w:pPr>
              <w:spacing w:after="40"/>
            </w:pPr>
            <w:r>
              <w:rPr>
                <w:sz w:val="16"/>
                <w:szCs w:val="16"/>
              </w:rPr>
              <w:t>OTS by defined zone (entrance, checkout, endcap, cooler, pharmacy).</w:t>
            </w:r>
          </w:p>
        </w:tc>
        <w:tc>
          <w:tcPr>
            <w:tcW w:w="2100" w:type="dxa"/>
          </w:tcPr>
          <w:p w14:paraId="20CDD84B" w14:textId="77777777" w:rsidR="00A2611F" w:rsidRDefault="00000000">
            <w:pPr>
              <w:spacing w:after="40"/>
            </w:pPr>
            <w:r>
              <w:rPr>
                <w:sz w:val="16"/>
                <w:szCs w:val="16"/>
              </w:rPr>
              <w:t>Reported on a disclosed zone taxonomy.</w:t>
            </w:r>
          </w:p>
        </w:tc>
        <w:tc>
          <w:tcPr>
            <w:tcW w:w="2100" w:type="dxa"/>
          </w:tcPr>
          <w:p w14:paraId="13EF7623" w14:textId="77777777" w:rsidR="00A2611F" w:rsidRDefault="00000000">
            <w:pPr>
              <w:spacing w:after="40"/>
            </w:pPr>
            <w:r>
              <w:rPr>
                <w:sz w:val="16"/>
                <w:szCs w:val="16"/>
              </w:rPr>
              <w:t>Per-zone measured audience.</w:t>
            </w:r>
          </w:p>
        </w:tc>
      </w:tr>
      <w:tr w:rsidR="00A2611F" w14:paraId="06E9EDF7" w14:textId="77777777">
        <w:tc>
          <w:tcPr>
            <w:tcW w:w="2000" w:type="dxa"/>
          </w:tcPr>
          <w:p w14:paraId="1761658F" w14:textId="77777777" w:rsidR="00A2611F" w:rsidRDefault="00000000">
            <w:pPr>
              <w:spacing w:after="40"/>
            </w:pPr>
            <w:r>
              <w:rPr>
                <w:sz w:val="16"/>
                <w:szCs w:val="16"/>
              </w:rPr>
              <w:t>Dwell Time</w:t>
            </w:r>
          </w:p>
        </w:tc>
        <w:tc>
          <w:tcPr>
            <w:tcW w:w="4600" w:type="dxa"/>
          </w:tcPr>
          <w:p w14:paraId="0E81E383" w14:textId="77777777" w:rsidR="00A2611F" w:rsidRDefault="00000000">
            <w:pPr>
              <w:spacing w:after="40"/>
            </w:pPr>
            <w:r>
              <w:rPr>
                <w:sz w:val="16"/>
                <w:szCs w:val="16"/>
              </w:rPr>
              <w:t>Average time shoppers spend in a defined zone.</w:t>
            </w:r>
          </w:p>
        </w:tc>
        <w:tc>
          <w:tcPr>
            <w:tcW w:w="2100" w:type="dxa"/>
          </w:tcPr>
          <w:p w14:paraId="2801D3C9" w14:textId="77777777" w:rsidR="00A2611F" w:rsidRDefault="00000000">
            <w:pPr>
              <w:spacing w:after="40"/>
            </w:pPr>
            <w:r>
              <w:rPr>
                <w:sz w:val="16"/>
                <w:szCs w:val="16"/>
              </w:rPr>
              <w:t>Estimated per zone.</w:t>
            </w:r>
          </w:p>
        </w:tc>
        <w:tc>
          <w:tcPr>
            <w:tcW w:w="2100" w:type="dxa"/>
          </w:tcPr>
          <w:p w14:paraId="69268C86" w14:textId="77777777" w:rsidR="00A2611F" w:rsidRDefault="00000000">
            <w:pPr>
              <w:spacing w:after="40"/>
            </w:pPr>
            <w:r>
              <w:rPr>
                <w:sz w:val="16"/>
                <w:szCs w:val="16"/>
              </w:rPr>
              <w:t>Sensor-measured dwell.</w:t>
            </w:r>
          </w:p>
        </w:tc>
      </w:tr>
      <w:tr w:rsidR="00A2611F" w14:paraId="24DDBCE2" w14:textId="77777777">
        <w:tc>
          <w:tcPr>
            <w:tcW w:w="2000" w:type="dxa"/>
          </w:tcPr>
          <w:p w14:paraId="575AC4D1" w14:textId="77777777" w:rsidR="00A2611F" w:rsidRDefault="00000000">
            <w:pPr>
              <w:spacing w:after="40"/>
            </w:pPr>
            <w:r>
              <w:rPr>
                <w:sz w:val="16"/>
                <w:szCs w:val="16"/>
              </w:rPr>
              <w:t>Audio / Radio Audible Playout</w:t>
            </w:r>
          </w:p>
        </w:tc>
        <w:tc>
          <w:tcPr>
            <w:tcW w:w="4600" w:type="dxa"/>
          </w:tcPr>
          <w:p w14:paraId="503D6695" w14:textId="77777777" w:rsidR="00A2611F" w:rsidRDefault="00000000">
            <w:pPr>
              <w:spacing w:after="40"/>
            </w:pPr>
            <w:r>
              <w:rPr>
                <w:sz w:val="16"/>
                <w:szCs w:val="16"/>
              </w:rPr>
              <w:t>Confirmation that in-store audio or radio content played at sufficient volume, covering screens, audio, and radio units alike.</w:t>
            </w:r>
          </w:p>
        </w:tc>
        <w:tc>
          <w:tcPr>
            <w:tcW w:w="2100" w:type="dxa"/>
          </w:tcPr>
          <w:p w14:paraId="5E95481B" w14:textId="77777777" w:rsidR="00A2611F" w:rsidRDefault="00000000">
            <w:pPr>
              <w:spacing w:after="40"/>
            </w:pPr>
            <w:r>
              <w:rPr>
                <w:sz w:val="16"/>
                <w:szCs w:val="16"/>
              </w:rPr>
              <w:t>Playout confirmation logged.</w:t>
            </w:r>
          </w:p>
        </w:tc>
        <w:tc>
          <w:tcPr>
            <w:tcW w:w="2100" w:type="dxa"/>
          </w:tcPr>
          <w:p w14:paraId="1FFC15D1" w14:textId="77777777" w:rsidR="00A2611F" w:rsidRDefault="00000000">
            <w:pPr>
              <w:spacing w:after="40"/>
            </w:pPr>
            <w:r>
              <w:rPr>
                <w:sz w:val="16"/>
                <w:szCs w:val="16"/>
              </w:rPr>
              <w:t>Audio confidence recording retained.</w:t>
            </w:r>
          </w:p>
        </w:tc>
      </w:tr>
      <w:tr w:rsidR="00A2611F" w14:paraId="5D9B0E4A" w14:textId="77777777">
        <w:tc>
          <w:tcPr>
            <w:tcW w:w="2000" w:type="dxa"/>
          </w:tcPr>
          <w:p w14:paraId="69A3E84A" w14:textId="77777777" w:rsidR="00A2611F" w:rsidRDefault="00000000">
            <w:pPr>
              <w:spacing w:after="40"/>
            </w:pPr>
            <w:r>
              <w:rPr>
                <w:sz w:val="16"/>
                <w:szCs w:val="16"/>
              </w:rPr>
              <w:t>POS-Linked Attributed Sales</w:t>
            </w:r>
          </w:p>
        </w:tc>
        <w:tc>
          <w:tcPr>
            <w:tcW w:w="4600" w:type="dxa"/>
          </w:tcPr>
          <w:p w14:paraId="501355F1" w14:textId="77777777" w:rsidR="00A2611F" w:rsidRDefault="00000000">
            <w:pPr>
              <w:spacing w:after="40"/>
            </w:pPr>
            <w:r>
              <w:rPr>
                <w:sz w:val="16"/>
                <w:szCs w:val="16"/>
              </w:rPr>
              <w:t>Sales attributed to in-store exposure via loyalty ID or POS linkage.</w:t>
            </w:r>
          </w:p>
        </w:tc>
        <w:tc>
          <w:tcPr>
            <w:tcW w:w="2100" w:type="dxa"/>
          </w:tcPr>
          <w:p w14:paraId="10D4F072" w14:textId="77777777" w:rsidR="00A2611F" w:rsidRDefault="00000000">
            <w:pPr>
              <w:spacing w:after="40"/>
            </w:pPr>
            <w:r>
              <w:rPr>
                <w:sz w:val="16"/>
                <w:szCs w:val="16"/>
              </w:rPr>
              <w:t>Loyalty-linked attributed sales reported by store and SKU, with the linkage rate disclosed.</w:t>
            </w:r>
          </w:p>
        </w:tc>
        <w:tc>
          <w:tcPr>
            <w:tcW w:w="2100" w:type="dxa"/>
          </w:tcPr>
          <w:p w14:paraId="5418FC7C" w14:textId="77777777" w:rsidR="00A2611F" w:rsidRDefault="00000000">
            <w:pPr>
              <w:spacing w:after="40"/>
            </w:pPr>
            <w:r>
              <w:rPr>
                <w:sz w:val="16"/>
                <w:szCs w:val="16"/>
              </w:rPr>
              <w:t>Deterministic POS linkage, modelled remainder disclosed.</w:t>
            </w:r>
          </w:p>
        </w:tc>
      </w:tr>
      <w:tr w:rsidR="00A2611F" w14:paraId="3ED77DCC" w14:textId="77777777">
        <w:tc>
          <w:tcPr>
            <w:tcW w:w="2000" w:type="dxa"/>
          </w:tcPr>
          <w:p w14:paraId="208026A5" w14:textId="77777777" w:rsidR="00A2611F" w:rsidRDefault="00000000">
            <w:pPr>
              <w:spacing w:after="40"/>
            </w:pPr>
            <w:r>
              <w:rPr>
                <w:sz w:val="16"/>
                <w:szCs w:val="16"/>
              </w:rPr>
              <w:t>In-Store Sales Lift</w:t>
            </w:r>
          </w:p>
        </w:tc>
        <w:tc>
          <w:tcPr>
            <w:tcW w:w="4600" w:type="dxa"/>
          </w:tcPr>
          <w:p w14:paraId="6F5741C9" w14:textId="77777777" w:rsidR="00A2611F" w:rsidRDefault="00000000">
            <w:pPr>
              <w:spacing w:after="40"/>
            </w:pPr>
            <w:r>
              <w:rPr>
                <w:sz w:val="16"/>
                <w:szCs w:val="16"/>
              </w:rPr>
              <w:t>Incremental sales value vs matched control stores.</w:t>
            </w:r>
          </w:p>
        </w:tc>
        <w:tc>
          <w:tcPr>
            <w:tcW w:w="2100" w:type="dxa"/>
          </w:tcPr>
          <w:p w14:paraId="01839E8E" w14:textId="77777777" w:rsidR="00A2611F" w:rsidRDefault="00000000">
            <w:pPr>
              <w:spacing w:after="40"/>
            </w:pPr>
            <w:r>
              <w:rPr>
                <w:sz w:val="16"/>
                <w:szCs w:val="16"/>
              </w:rPr>
              <w:t>Test-vs-control store comparison using a matched-market design with the matching criteria disclosed; still labelled directional sales lift, not incrementality, per §3.1.</w:t>
            </w:r>
          </w:p>
        </w:tc>
        <w:tc>
          <w:tcPr>
            <w:tcW w:w="2100" w:type="dxa"/>
          </w:tcPr>
          <w:p w14:paraId="31665BAB" w14:textId="77777777" w:rsidR="00A2611F" w:rsidRDefault="00000000">
            <w:pPr>
              <w:spacing w:after="40"/>
            </w:pPr>
            <w:r>
              <w:rPr>
                <w:sz w:val="16"/>
                <w:szCs w:val="16"/>
              </w:rPr>
              <w:t>Confidence interval and known biases disclosed.</w:t>
            </w:r>
          </w:p>
        </w:tc>
      </w:tr>
      <w:tr w:rsidR="00A2611F" w14:paraId="7840C2ED" w14:textId="77777777">
        <w:tc>
          <w:tcPr>
            <w:tcW w:w="2000" w:type="dxa"/>
          </w:tcPr>
          <w:p w14:paraId="6C01D5CF" w14:textId="77777777" w:rsidR="00A2611F" w:rsidRDefault="00000000">
            <w:pPr>
              <w:spacing w:after="40"/>
            </w:pPr>
            <w:r>
              <w:rPr>
                <w:sz w:val="16"/>
                <w:szCs w:val="16"/>
              </w:rPr>
              <w:t>In-Store Conversion Lift</w:t>
            </w:r>
          </w:p>
        </w:tc>
        <w:tc>
          <w:tcPr>
            <w:tcW w:w="4600" w:type="dxa"/>
          </w:tcPr>
          <w:p w14:paraId="1D744E80" w14:textId="77777777" w:rsidR="00A2611F" w:rsidRDefault="00000000">
            <w:pPr>
              <w:spacing w:after="40"/>
            </w:pPr>
            <w:r>
              <w:rPr>
                <w:sz w:val="16"/>
                <w:szCs w:val="16"/>
              </w:rPr>
              <w:t>Incremental purchase-conversion rate — traffic or OTS converting to a POS transaction — vs matched control stores.</w:t>
            </w:r>
          </w:p>
        </w:tc>
        <w:tc>
          <w:tcPr>
            <w:tcW w:w="2100" w:type="dxa"/>
          </w:tcPr>
          <w:p w14:paraId="11F45859" w14:textId="77777777" w:rsidR="00A2611F" w:rsidRDefault="00000000">
            <w:pPr>
              <w:spacing w:after="40"/>
            </w:pPr>
            <w:r>
              <w:rPr>
                <w:sz w:val="16"/>
                <w:szCs w:val="16"/>
              </w:rPr>
              <w:t>Test-vs-control comparison using a matched-market design with the matching criteria disclosed, reported directionally.</w:t>
            </w:r>
          </w:p>
        </w:tc>
        <w:tc>
          <w:tcPr>
            <w:tcW w:w="2100" w:type="dxa"/>
          </w:tcPr>
          <w:p w14:paraId="65EE0B9F" w14:textId="77777777" w:rsidR="00A2611F" w:rsidRDefault="00000000">
            <w:pPr>
              <w:spacing w:after="40"/>
            </w:pPr>
            <w:r>
              <w:rPr>
                <w:sz w:val="16"/>
                <w:szCs w:val="16"/>
              </w:rPr>
              <w:t>Confidence interval and known biases disclosed.</w:t>
            </w:r>
          </w:p>
        </w:tc>
      </w:tr>
    </w:tbl>
    <w:p w14:paraId="6782FB13" w14:textId="77777777" w:rsidR="00A2611F" w:rsidRDefault="00000000">
      <w:pPr>
        <w:spacing w:before="100" w:after="220"/>
      </w:pPr>
      <w:r>
        <w:rPr>
          <w:i/>
          <w:iCs/>
          <w:color w:val="444444"/>
          <w:sz w:val="18"/>
          <w:szCs w:val="18"/>
        </w:rPr>
        <w:t>All footfall/Traffic-derived OTS figures must disclose the derivation method. POS-linked sales must disclose the loyalty linkage rate and the treatment of unlinked (including cash) transactions, consistent with §1.2–§1.3. In-Store Sales Lift and In-Store Conversion Lift are reported as two separate rows rather than one combined figure, since a store can convert traffic more efficiently without necessarily lifting basket value, or vice versa.</w:t>
      </w:r>
    </w:p>
    <w:p w14:paraId="26E70735" w14:textId="77777777" w:rsidR="00A2611F" w:rsidRDefault="00000000">
      <w:pPr>
        <w:pStyle w:val="Heading2"/>
      </w:pPr>
      <w:r>
        <w:t>4.5 Build-Out Targets</w:t>
      </w:r>
    </w:p>
    <w:p w14:paraId="080C4709" w14:textId="77777777" w:rsidR="00A2611F" w:rsidRDefault="00000000">
      <w:pPr>
        <w:spacing w:after="160" w:line="276" w:lineRule="auto"/>
        <w:jc w:val="both"/>
      </w:pPr>
      <w:r>
        <w:t>Moving up each step carries a specific disclosure. Traffic to OTS requires a disclosed zone-calibration method. OTS to Verified Playout requires disclosed sensor or logging coverage — which sites are instrumented and which are still modelled — and Verified Playout to Verified Impression additionally requires disclosed presence-detection logic. Estimated Unique Reach to Verified Reach requires the same sensor or panel coverage disclosure on the reach-side track.</w:t>
      </w:r>
    </w:p>
    <w:p w14:paraId="5A0DE262" w14:textId="77777777" w:rsidR="00A2611F" w:rsidRDefault="00000000">
      <w:pPr>
        <w:spacing w:after="160" w:line="276" w:lineRule="auto"/>
        <w:jc w:val="both"/>
      </w:pPr>
      <w:r>
        <w:rPr>
          <w:b/>
          <w:bCs/>
        </w:rPr>
        <w:t xml:space="preserve">Store comparability in test/control design. </w:t>
      </w:r>
      <w:r>
        <w:t>Any in-store lift design — sales or conversion — must disclose and control for store-location comparability, including format, size, and catchment, and for consistency of media play times and schedules between test and control stores. A mismatched play schedule between test and control can confound a lift result as readily as a mismatched store profile, and the standard names both as required disclosures rather than leaving schedule alignment implicit in “matched-market design.”</w:t>
      </w:r>
    </w:p>
    <w:p w14:paraId="61B2B9B1" w14:textId="77777777" w:rsidR="00A2611F" w:rsidRDefault="00000000">
      <w:pPr>
        <w:spacing w:after="160" w:line="276" w:lineRule="auto"/>
        <w:jc w:val="both"/>
      </w:pPr>
      <w:r>
        <w:t>The standard does not require any retailer to reach the top of either spine; it requires that each retailer be clear about where on the spine each reported number sits.</w:t>
      </w:r>
    </w:p>
    <w:p w14:paraId="208AB151" w14:textId="77777777" w:rsidR="00A2611F" w:rsidRDefault="00000000">
      <w:r>
        <w:br w:type="page"/>
      </w:r>
    </w:p>
    <w:p w14:paraId="03C12721" w14:textId="77777777" w:rsidR="00A2611F" w:rsidRDefault="00000000">
      <w:pPr>
        <w:pStyle w:val="Heading1"/>
      </w:pPr>
      <w:r>
        <w:lastRenderedPageBreak/>
        <w:t>5. Optimization Guide</w:t>
      </w:r>
    </w:p>
    <w:p w14:paraId="2406C108" w14:textId="77777777" w:rsidR="00A2611F" w:rsidRDefault="00000000">
      <w:pPr>
        <w:spacing w:after="160" w:line="276" w:lineRule="auto"/>
        <w:jc w:val="both"/>
      </w:pPr>
      <w:r>
        <w:t>A standard is only useful if it changes what people do. This section translates the standard into action for the two sides of the table — retailers who report measurement, and brands who buy against it — and sets out how tier declarations themselves should be governed over time.</w:t>
      </w:r>
    </w:p>
    <w:p w14:paraId="3228118B" w14:textId="77777777" w:rsidR="00A2611F" w:rsidRDefault="00000000">
      <w:pPr>
        <w:pStyle w:val="Heading2"/>
      </w:pPr>
      <w:r>
        <w:t>5.1 What This Means for Retailers</w:t>
      </w:r>
    </w:p>
    <w:p w14:paraId="4635DFD5" w14:textId="77777777" w:rsidR="00A2611F" w:rsidRDefault="00000000">
      <w:pPr>
        <w:spacing w:after="160" w:line="276" w:lineRule="auto"/>
        <w:jc w:val="both"/>
      </w:pPr>
      <w:r>
        <w:rPr>
          <w:b/>
          <w:bCs/>
        </w:rPr>
        <w:t xml:space="preserve">Read your own tier profile first. </w:t>
      </w:r>
      <w:r>
        <w:t>Run your metrics through Sections 2 and 4 and mark where you sit — Standard, Advanced, or Not Applicable where genuinely out of scope (except within delivery, §1.1) — on each. The pattern, not any single metric, is your measurement maturity. Most SA retailers will find a mixed profile: solidly at Standard on delivery and on-site ROAS, still closing the gap to Standard on incrementality and in-store, with Advanced-tier auditability capabilities unbuilt. That is a normal and honest starting point; closing the gap to Standard should be treated as real work, not a formality.</w:t>
      </w:r>
    </w:p>
    <w:p w14:paraId="1BD8BC28" w14:textId="77777777" w:rsidR="00A2611F" w:rsidRDefault="00000000">
      <w:pPr>
        <w:spacing w:after="160" w:line="276" w:lineRule="auto"/>
        <w:jc w:val="both"/>
      </w:pPr>
      <w:r>
        <w:rPr>
          <w:b/>
          <w:bCs/>
        </w:rPr>
        <w:t xml:space="preserve">Invest where buy-side trust is won, not where build is easy. </w:t>
      </w:r>
      <w:r>
        <w:t>The highest-return moves are usually the disclosure ones, because they are cheap and they directly address what buyers distrust. Disclosing your loyalty linkage rate, its calculation basis, and your extrapolation percentage and methodology costs little and earns more credibility than a new dashboard. Sequence investment by trust impact: disclosure first, then incrementality method, then in-store audience precision, then auditability.</w:t>
      </w:r>
    </w:p>
    <w:p w14:paraId="64B712D6" w14:textId="77777777" w:rsidR="00A2611F" w:rsidRDefault="00000000">
      <w:pPr>
        <w:spacing w:after="160" w:line="276" w:lineRule="auto"/>
        <w:jc w:val="both"/>
      </w:pPr>
      <w:r>
        <w:t>Disclosure de-risks your numbers. A disclosed, modest figure survives scrutiny; an impressive but unexplained one invites the buyer to discount it by an unknown margin. The standard is, in effect, a way to defend your numbers by making their basis legible.</w:t>
      </w:r>
    </w:p>
    <w:p w14:paraId="5E5A8072" w14:textId="77777777" w:rsidR="00A2611F" w:rsidRDefault="00000000">
      <w:pPr>
        <w:pStyle w:val="Heading3"/>
      </w:pPr>
      <w:r>
        <w:t>Tiered next moves</w:t>
      </w:r>
    </w:p>
    <w:p w14:paraId="50FE740C" w14:textId="77777777" w:rsidR="00A2611F" w:rsidRDefault="00000000">
      <w:pPr>
        <w:pStyle w:val="ListParagraph"/>
        <w:numPr>
          <w:ilvl w:val="0"/>
          <w:numId w:val="1"/>
        </w:numPr>
        <w:spacing w:after="100" w:line="276" w:lineRule="auto"/>
        <w:jc w:val="both"/>
      </w:pPr>
      <w:r>
        <w:rPr>
          <w:b/>
          <w:bCs/>
        </w:rPr>
        <w:t xml:space="preserve">If you are not yet at Standard on a metric: </w:t>
      </w:r>
      <w:r>
        <w:t>disclose method and extrapolation methodology, filter SIVT on outcomes, separate gross/net and click/view, report on-site net sales as required (§1.4), agree windows pre-campaign, and report gross with the basis — including VAT and discount/voucher treatment — labelled. This is the reporting floor now, not a stretch goal, so treat closing this gap as the first priority.</w:t>
      </w:r>
    </w:p>
    <w:p w14:paraId="4CB6DA02" w14:textId="77777777" w:rsidR="00A2611F" w:rsidRDefault="00000000">
      <w:pPr>
        <w:pStyle w:val="ListParagraph"/>
        <w:numPr>
          <w:ilvl w:val="0"/>
          <w:numId w:val="1"/>
        </w:numPr>
        <w:spacing w:after="100" w:line="276" w:lineRule="auto"/>
        <w:jc w:val="both"/>
      </w:pPr>
      <w:r>
        <w:rPr>
          <w:b/>
          <w:bCs/>
        </w:rPr>
        <w:t xml:space="preserve">If you are at Standard: </w:t>
      </w:r>
      <w:r>
        <w:t>add a matched-control incrementality design rather than a pre/post comparison, and begin building toward Advanced-tier auditability.</w:t>
      </w:r>
    </w:p>
    <w:p w14:paraId="1DD65CEA" w14:textId="77777777" w:rsidR="00A2611F" w:rsidRDefault="00000000">
      <w:pPr>
        <w:pStyle w:val="ListParagraph"/>
        <w:numPr>
          <w:ilvl w:val="0"/>
          <w:numId w:val="1"/>
        </w:numPr>
        <w:spacing w:after="100" w:line="276" w:lineRule="auto"/>
        <w:jc w:val="both"/>
      </w:pPr>
      <w:r>
        <w:rPr>
          <w:b/>
          <w:bCs/>
        </w:rPr>
        <w:t xml:space="preserve">If you are Advanced: </w:t>
      </w:r>
      <w:r>
        <w:t>stand up a clean room with a documented POPIA lawful basis, offer raw/API export for MMM, and open to third-party audit.</w:t>
      </w:r>
    </w:p>
    <w:p w14:paraId="43B73CD9" w14:textId="77777777" w:rsidR="00A2611F" w:rsidRDefault="00000000">
      <w:pPr>
        <w:pStyle w:val="Heading2"/>
      </w:pPr>
      <w:r>
        <w:t>5.2 What This Means for Brands</w:t>
      </w:r>
    </w:p>
    <w:p w14:paraId="67A62161" w14:textId="77777777" w:rsidR="00A2611F" w:rsidRDefault="00000000">
      <w:pPr>
        <w:spacing w:after="160" w:line="276" w:lineRule="auto"/>
        <w:jc w:val="both"/>
      </w:pPr>
      <w:r>
        <w:rPr>
          <w:b/>
          <w:bCs/>
        </w:rPr>
        <w:t xml:space="preserve">Read the tier declaration as data. </w:t>
      </w:r>
      <w:r>
        <w:t>A retailer's declared tiers tell you how much to trust each number before you negotiate. A result labelled directional sales lift is a hypothesis, not a settled return; a result labelled incrementality or iROAS should already carry a genuine control group under this standard (§3.1). The declaration is the most useful thing on the page.</w:t>
      </w:r>
    </w:p>
    <w:p w14:paraId="6B5B6A31" w14:textId="77777777" w:rsidR="00A2611F" w:rsidRDefault="00000000">
      <w:pPr>
        <w:spacing w:after="160" w:line="276" w:lineRule="auto"/>
        <w:jc w:val="both"/>
      </w:pPr>
      <w:r>
        <w:rPr>
          <w:b/>
          <w:bCs/>
        </w:rPr>
        <w:t xml:space="preserve">Spot match-back dressed as incrementality. </w:t>
      </w:r>
      <w:r>
        <w:t>If a “lift” or iROAS figure arrives without a control-group size, matching ratio, confidence interval, and a description of how the control was constructed, it is almost certainly attributed ROAS relabelled. Ask for the four disclosures from §3.1; their absence is the answer.</w:t>
      </w:r>
    </w:p>
    <w:p w14:paraId="2D05BF7B" w14:textId="77777777" w:rsidR="00A2611F" w:rsidRDefault="00000000">
      <w:pPr>
        <w:spacing w:after="160" w:line="276" w:lineRule="auto"/>
        <w:jc w:val="both"/>
      </w:pPr>
      <w:r>
        <w:rPr>
          <w:b/>
          <w:bCs/>
        </w:rPr>
        <w:t xml:space="preserve">Put the disclosures in the RFP and SOW. </w:t>
      </w:r>
      <w:r>
        <w:t xml:space="preserve">Make the standard contractual. Require: extrapolation percentage and methodology, and loyalty linkage rate with its calculation basis, on closed-loop outcomes; gross/net labelling inclusive of VAT and discount treatment; pre-agreed post-click and post-view attribution windows; SIVT filtration on outcomes; and </w:t>
      </w:r>
      <w:r>
        <w:lastRenderedPageBreak/>
        <w:t>the incrementality method with its full disclosure set. A short disclosure checklist in procurement does more for comparability than any single metric demand.</w:t>
      </w:r>
    </w:p>
    <w:p w14:paraId="508F97E4" w14:textId="77777777" w:rsidR="00A2611F" w:rsidRDefault="00000000">
      <w:pPr>
        <w:spacing w:after="160" w:line="276" w:lineRule="auto"/>
        <w:jc w:val="both"/>
      </w:pPr>
      <w:r>
        <w:rPr>
          <w:b/>
          <w:bCs/>
        </w:rPr>
        <w:t xml:space="preserve">Compare RMNs on a common basis. </w:t>
      </w:r>
      <w:r>
        <w:t>Two retailers reporting the same metric at different tiers are not reporting the same thing. Normalise to the lower tier for comparison, or require both to report at the tier you need. The environment map tells you which metrics are even comparable across a digital-only and an in-store-heavy retailer. Remember that delivery metrics carry no Not Applicable option (§1.1), so a retailer declining to report them is not exercising a legitimate declaration.</w:t>
      </w:r>
    </w:p>
    <w:p w14:paraId="2FC2E73C" w14:textId="77777777" w:rsidR="00A2611F" w:rsidRDefault="00000000">
      <w:pPr>
        <w:spacing w:after="160" w:line="276" w:lineRule="auto"/>
        <w:jc w:val="both"/>
      </w:pPr>
      <w:r>
        <w:t>Plan against the gaps. Where a retailer has not yet closed the gap to Standard on a metric, plan as though the number carries a wide error band, and weight budget toward the environments and metrics where its disclosures let you trust the figure. The standard does not tell you which RMN is better; it tells you where to trust each one and where to discount it.</w:t>
      </w:r>
    </w:p>
    <w:p w14:paraId="632DC7BB" w14:textId="77777777" w:rsidR="00A2611F" w:rsidRDefault="00000000">
      <w:pPr>
        <w:pStyle w:val="Heading2"/>
      </w:pPr>
      <w:r>
        <w:t>5.3 Governance: Tier Declaration &amp; Challenge</w:t>
      </w:r>
    </w:p>
    <w:p w14:paraId="6E543017" w14:textId="77777777" w:rsidR="00A2611F" w:rsidRDefault="00000000">
      <w:pPr>
        <w:spacing w:after="160" w:line="276" w:lineRule="auto"/>
        <w:jc w:val="both"/>
      </w:pPr>
      <w:r>
        <w:t>This section is written as a recommendation for Task Force adoption rather than a settled rule, since it introduces process obligations beyond what any single retailer or brand can decide unilaterally; see Appendix C.</w:t>
      </w:r>
    </w:p>
    <w:p w14:paraId="2EC5D66C" w14:textId="77777777" w:rsidR="00A2611F" w:rsidRDefault="00000000">
      <w:pPr>
        <w:pStyle w:val="ListParagraph"/>
        <w:numPr>
          <w:ilvl w:val="0"/>
          <w:numId w:val="1"/>
        </w:numPr>
        <w:spacing w:after="100" w:line="276" w:lineRule="auto"/>
        <w:jc w:val="both"/>
      </w:pPr>
      <w:r>
        <w:rPr>
          <w:b/>
          <w:bCs/>
        </w:rPr>
        <w:t xml:space="preserve">Not Applicable as a standing option. </w:t>
      </w:r>
      <w:r>
        <w:t>Every metric declaration outside of delivery should offer Not Applicable alongside the two working tiers (§1.1), so a retailer is never forced into a false Standard-tier entry for a capability its business model does not produce. The Task Force intends to track Not Applicable usage over time as a market-maturity indicator.</w:t>
      </w:r>
    </w:p>
    <w:p w14:paraId="76BFAEA5" w14:textId="77777777" w:rsidR="00A2611F" w:rsidRDefault="00000000">
      <w:pPr>
        <w:pStyle w:val="ListParagraph"/>
        <w:numPr>
          <w:ilvl w:val="0"/>
          <w:numId w:val="1"/>
        </w:numPr>
        <w:spacing w:after="100" w:line="276" w:lineRule="auto"/>
        <w:jc w:val="both"/>
      </w:pPr>
      <w:r>
        <w:rPr>
          <w:b/>
          <w:bCs/>
        </w:rPr>
        <w:t xml:space="preserve">Annual re-declaration. </w:t>
      </w:r>
      <w:r>
        <w:t>Tier declarations should be re-affirmed or updated at least annually, or upon a material change in measurement capability, so the standard reflects current capability rather than a point-in-time snapshot that quietly goes stale.</w:t>
      </w:r>
    </w:p>
    <w:p w14:paraId="329BDFBC" w14:textId="77777777" w:rsidR="00A2611F" w:rsidRDefault="00000000">
      <w:pPr>
        <w:pStyle w:val="ListParagraph"/>
        <w:numPr>
          <w:ilvl w:val="0"/>
          <w:numId w:val="1"/>
        </w:numPr>
        <w:spacing w:after="100" w:line="276" w:lineRule="auto"/>
        <w:jc w:val="both"/>
      </w:pPr>
      <w:r>
        <w:rPr>
          <w:b/>
          <w:bCs/>
        </w:rPr>
        <w:t xml:space="preserve">A buyer challenge mechanism. </w:t>
      </w:r>
      <w:r>
        <w:t>Brands who believe a declared tier is overstated relative to the evidence provided should have a defined channel — through the Measurement Standards Workstream, or bilaterally through the RFP/SOW process — to challenge the declaration and request supporting evidence. The Task Force has not yet settled which body adjudicates a challenge; this is tracked in Appendix C.</w:t>
      </w:r>
    </w:p>
    <w:p w14:paraId="20E30970" w14:textId="77777777" w:rsidR="00A2611F" w:rsidRDefault="00000000">
      <w:r>
        <w:br w:type="page"/>
      </w:r>
    </w:p>
    <w:p w14:paraId="40EDD4DF" w14:textId="77777777" w:rsidR="00A2611F" w:rsidRDefault="00000000">
      <w:pPr>
        <w:pStyle w:val="Heading1"/>
      </w:pPr>
      <w:r>
        <w:lastRenderedPageBreak/>
        <w:t>6. Glossary / Definition Reference</w:t>
      </w:r>
    </w:p>
    <w:p w14:paraId="7F0C37EA" w14:textId="77777777" w:rsidR="00A2611F" w:rsidRDefault="00000000">
      <w:pPr>
        <w:spacing w:after="160" w:line="276" w:lineRule="auto"/>
        <w:jc w:val="both"/>
      </w:pPr>
      <w:r>
        <w:t>Terms that carry a South Africa-specific sharpening of the source standards.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8400"/>
      </w:tblGrid>
      <w:tr w:rsidR="00A2611F" w14:paraId="44A42A08" w14:textId="77777777">
        <w:trPr>
          <w:tblHeader/>
        </w:trPr>
        <w:tc>
          <w:tcPr>
            <w:tcW w:w="2400" w:type="dxa"/>
            <w:shd w:val="clear" w:color="auto" w:fill="D9D9D9"/>
            <w:vAlign w:val="center"/>
          </w:tcPr>
          <w:p w14:paraId="12CA0219" w14:textId="77777777" w:rsidR="00A2611F" w:rsidRDefault="00000000">
            <w:r>
              <w:rPr>
                <w:b/>
                <w:bCs/>
                <w:sz w:val="16"/>
                <w:szCs w:val="16"/>
              </w:rPr>
              <w:t>Term</w:t>
            </w:r>
          </w:p>
        </w:tc>
        <w:tc>
          <w:tcPr>
            <w:tcW w:w="8400" w:type="dxa"/>
            <w:shd w:val="clear" w:color="auto" w:fill="D9D9D9"/>
            <w:vAlign w:val="center"/>
          </w:tcPr>
          <w:p w14:paraId="6ABF36BF" w14:textId="77777777" w:rsidR="00A2611F" w:rsidRDefault="00000000">
            <w:r>
              <w:rPr>
                <w:b/>
                <w:bCs/>
                <w:sz w:val="16"/>
                <w:szCs w:val="16"/>
              </w:rPr>
              <w:t>Definition</w:t>
            </w:r>
          </w:p>
        </w:tc>
      </w:tr>
      <w:tr w:rsidR="00A2611F" w14:paraId="7827A2A0" w14:textId="77777777">
        <w:tc>
          <w:tcPr>
            <w:tcW w:w="2400" w:type="dxa"/>
          </w:tcPr>
          <w:p w14:paraId="68ED5D47" w14:textId="77777777" w:rsidR="00A2611F" w:rsidRDefault="00000000">
            <w:pPr>
              <w:spacing w:after="40"/>
            </w:pPr>
            <w:r>
              <w:rPr>
                <w:sz w:val="16"/>
                <w:szCs w:val="16"/>
              </w:rPr>
              <w:t>Gross Sale</w:t>
            </w:r>
          </w:p>
        </w:tc>
        <w:tc>
          <w:tcPr>
            <w:tcW w:w="8400" w:type="dxa"/>
          </w:tcPr>
          <w:p w14:paraId="75206DF7" w14:textId="77777777" w:rsidR="00A2611F" w:rsidRDefault="00000000">
            <w:pPr>
              <w:spacing w:after="40"/>
            </w:pPr>
            <w:r>
              <w:rPr>
                <w:sz w:val="16"/>
                <w:szCs w:val="16"/>
              </w:rPr>
              <w:t>Sale recognised once payment is processed, regardless of return status. SA default reporting basis; VAT-inclusive or -exclusive status must be stated (§1.4).</w:t>
            </w:r>
          </w:p>
        </w:tc>
      </w:tr>
      <w:tr w:rsidR="00A2611F" w14:paraId="177C1D71" w14:textId="77777777">
        <w:tc>
          <w:tcPr>
            <w:tcW w:w="2400" w:type="dxa"/>
          </w:tcPr>
          <w:p w14:paraId="2396C4BF" w14:textId="77777777" w:rsidR="00A2611F" w:rsidRDefault="00000000">
            <w:pPr>
              <w:spacing w:after="40"/>
            </w:pPr>
            <w:r>
              <w:rPr>
                <w:sz w:val="16"/>
                <w:szCs w:val="16"/>
              </w:rPr>
              <w:t>Net Sale</w:t>
            </w:r>
          </w:p>
        </w:tc>
        <w:tc>
          <w:tcPr>
            <w:tcW w:w="8400" w:type="dxa"/>
          </w:tcPr>
          <w:p w14:paraId="6A068729" w14:textId="77777777" w:rsidR="00A2611F" w:rsidRDefault="00000000">
            <w:pPr>
              <w:spacing w:after="40"/>
            </w:pPr>
            <w:r>
              <w:rPr>
                <w:sz w:val="16"/>
                <w:szCs w:val="16"/>
              </w:rPr>
              <w:t>Gross minus returns / cancellations. Roughly 20% average delta. Must be labelled when reported; a Standard-tier requirement for the on-site environment (§1.4).</w:t>
            </w:r>
          </w:p>
        </w:tc>
      </w:tr>
      <w:tr w:rsidR="00A2611F" w14:paraId="6C8EB199" w14:textId="77777777">
        <w:tc>
          <w:tcPr>
            <w:tcW w:w="2400" w:type="dxa"/>
          </w:tcPr>
          <w:p w14:paraId="0F8240F6" w14:textId="77777777" w:rsidR="00A2611F" w:rsidRDefault="00000000">
            <w:pPr>
              <w:spacing w:after="40"/>
            </w:pPr>
            <w:r>
              <w:rPr>
                <w:sz w:val="16"/>
                <w:szCs w:val="16"/>
              </w:rPr>
              <w:t>Sales Extrapolation</w:t>
            </w:r>
          </w:p>
        </w:tc>
        <w:tc>
          <w:tcPr>
            <w:tcW w:w="8400" w:type="dxa"/>
          </w:tcPr>
          <w:p w14:paraId="1302C6BB" w14:textId="77777777" w:rsidR="00A2611F" w:rsidRDefault="00000000">
            <w:pPr>
              <w:spacing w:after="40"/>
            </w:pPr>
            <w:r>
              <w:rPr>
                <w:sz w:val="16"/>
                <w:szCs w:val="16"/>
              </w:rPr>
              <w:t>Estimating media impact on non-identified shoppers from identified-user data. In SA, the unmeasured share is driven by cash and non-loyalty transactions; the extrapolated percentage and its methodology must both be disclosed (§1.2).</w:t>
            </w:r>
          </w:p>
        </w:tc>
      </w:tr>
      <w:tr w:rsidR="00A2611F" w14:paraId="0FDBE3F9" w14:textId="77777777">
        <w:tc>
          <w:tcPr>
            <w:tcW w:w="2400" w:type="dxa"/>
          </w:tcPr>
          <w:p w14:paraId="3940273B" w14:textId="77777777" w:rsidR="00A2611F" w:rsidRDefault="00000000">
            <w:pPr>
              <w:spacing w:after="40"/>
            </w:pPr>
            <w:r>
              <w:rPr>
                <w:sz w:val="16"/>
                <w:szCs w:val="16"/>
              </w:rPr>
              <w:t>Closed-Loop Attribution</w:t>
            </w:r>
          </w:p>
        </w:tc>
        <w:tc>
          <w:tcPr>
            <w:tcW w:w="8400" w:type="dxa"/>
          </w:tcPr>
          <w:p w14:paraId="6D2DC498" w14:textId="77777777" w:rsidR="00A2611F" w:rsidRDefault="00000000">
            <w:pPr>
              <w:spacing w:after="40"/>
            </w:pPr>
            <w:r>
              <w:rPr>
                <w:sz w:val="16"/>
                <w:szCs w:val="16"/>
              </w:rPr>
              <w:t>Direct exposure-to-purchase linkage via loyalty ID or persistent identifier. Highest-fidelity approach; in SA its coverage is gated by loyalty penetration.</w:t>
            </w:r>
          </w:p>
        </w:tc>
      </w:tr>
      <w:tr w:rsidR="00A2611F" w14:paraId="20284908" w14:textId="77777777">
        <w:tc>
          <w:tcPr>
            <w:tcW w:w="2400" w:type="dxa"/>
          </w:tcPr>
          <w:p w14:paraId="01C5788A" w14:textId="77777777" w:rsidR="00A2611F" w:rsidRDefault="00000000">
            <w:pPr>
              <w:spacing w:after="40"/>
            </w:pPr>
            <w:r>
              <w:rPr>
                <w:sz w:val="16"/>
                <w:szCs w:val="16"/>
              </w:rPr>
              <w:t>Directional Sales Lift</w:t>
            </w:r>
          </w:p>
        </w:tc>
        <w:tc>
          <w:tcPr>
            <w:tcW w:w="8400" w:type="dxa"/>
          </w:tcPr>
          <w:p w14:paraId="0FADF8A3" w14:textId="77777777" w:rsidR="00A2611F" w:rsidRDefault="00000000">
            <w:pPr>
              <w:spacing w:after="40"/>
            </w:pPr>
            <w:r>
              <w:rPr>
                <w:sz w:val="16"/>
                <w:szCs w:val="16"/>
              </w:rPr>
              <w:t>A before/after or pre/post comparison of sales, used as a legitimate starting point before a retailer runs a controlled incrementality design; not a required reporting tier. Must not be labelled incrementality or iROAS, which are reserved for results built on a genuine control group (§3.1).</w:t>
            </w:r>
          </w:p>
        </w:tc>
      </w:tr>
      <w:tr w:rsidR="00A2611F" w14:paraId="7690E7B1" w14:textId="77777777">
        <w:tc>
          <w:tcPr>
            <w:tcW w:w="2400" w:type="dxa"/>
          </w:tcPr>
          <w:p w14:paraId="44866AC8" w14:textId="77777777" w:rsidR="00A2611F" w:rsidRDefault="00000000">
            <w:pPr>
              <w:spacing w:after="40"/>
            </w:pPr>
            <w:r>
              <w:rPr>
                <w:sz w:val="16"/>
                <w:szCs w:val="16"/>
              </w:rPr>
              <w:t>OTS (Opportunity to See)</w:t>
            </w:r>
          </w:p>
        </w:tc>
        <w:tc>
          <w:tcPr>
            <w:tcW w:w="8400" w:type="dxa"/>
          </w:tcPr>
          <w:p w14:paraId="73BB614E" w14:textId="77777777" w:rsidR="00A2611F" w:rsidRDefault="00000000">
            <w:pPr>
              <w:spacing w:after="40"/>
            </w:pPr>
            <w:r>
              <w:rPr>
                <w:sz w:val="16"/>
                <w:szCs w:val="16"/>
              </w:rPr>
              <w:t>Individuals present in the exposure zone of an in-store screen, radio zone, or static unit. Does not confirm the ad was seen. Built on Traffic as the SA in-store entry metric (§4.2).</w:t>
            </w:r>
          </w:p>
        </w:tc>
      </w:tr>
      <w:tr w:rsidR="00A2611F" w14:paraId="0E5C893F" w14:textId="77777777">
        <w:tc>
          <w:tcPr>
            <w:tcW w:w="2400" w:type="dxa"/>
          </w:tcPr>
          <w:p w14:paraId="301562F8" w14:textId="77777777" w:rsidR="00A2611F" w:rsidRDefault="00000000">
            <w:pPr>
              <w:spacing w:after="40"/>
            </w:pPr>
            <w:r>
              <w:rPr>
                <w:sz w:val="16"/>
                <w:szCs w:val="16"/>
              </w:rPr>
              <w:t>Traffic (in-store)</w:t>
            </w:r>
          </w:p>
        </w:tc>
        <w:tc>
          <w:tcPr>
            <w:tcW w:w="8400" w:type="dxa"/>
          </w:tcPr>
          <w:p w14:paraId="3F828CB3" w14:textId="77777777" w:rsidR="00A2611F" w:rsidRDefault="00000000">
            <w:pPr>
              <w:spacing w:after="40"/>
            </w:pPr>
            <w:r>
              <w:rPr>
                <w:sz w:val="16"/>
                <w:szCs w:val="16"/>
              </w:rPr>
              <w:t>The base of the in-store impression-side spine: a raw, undeduplicated count of people entering a store or zone, refined into OTS (§4.2).</w:t>
            </w:r>
          </w:p>
        </w:tc>
      </w:tr>
      <w:tr w:rsidR="00A2611F" w14:paraId="3060E8F4" w14:textId="77777777">
        <w:tc>
          <w:tcPr>
            <w:tcW w:w="2400" w:type="dxa"/>
          </w:tcPr>
          <w:p w14:paraId="0F09DDAD" w14:textId="77777777" w:rsidR="00A2611F" w:rsidRDefault="00000000">
            <w:pPr>
              <w:spacing w:after="40"/>
            </w:pPr>
            <w:r>
              <w:rPr>
                <w:sz w:val="16"/>
                <w:szCs w:val="16"/>
              </w:rPr>
              <w:t>Verified Playout</w:t>
            </w:r>
          </w:p>
        </w:tc>
        <w:tc>
          <w:tcPr>
            <w:tcW w:w="8400" w:type="dxa"/>
          </w:tcPr>
          <w:p w14:paraId="0889FAA3" w14:textId="77777777" w:rsidR="00A2611F" w:rsidRDefault="00000000">
            <w:pPr>
              <w:spacing w:after="40"/>
            </w:pPr>
            <w:r>
              <w:rPr>
                <w:sz w:val="16"/>
                <w:szCs w:val="16"/>
              </w:rPr>
              <w:t>Sensor- or log-confirmed evidence that in-store ad content actually played in a zone during the measurement window; the delivery-side confirmation, distinct from confirming shopper presence (§4.2, §4.4).</w:t>
            </w:r>
          </w:p>
        </w:tc>
      </w:tr>
      <w:tr w:rsidR="00A2611F" w14:paraId="2CCE86B3" w14:textId="77777777">
        <w:tc>
          <w:tcPr>
            <w:tcW w:w="2400" w:type="dxa"/>
          </w:tcPr>
          <w:p w14:paraId="10D592CA" w14:textId="77777777" w:rsidR="00A2611F" w:rsidRDefault="00000000">
            <w:pPr>
              <w:spacing w:after="40"/>
            </w:pPr>
            <w:r>
              <w:rPr>
                <w:sz w:val="16"/>
                <w:szCs w:val="16"/>
              </w:rPr>
              <w:t>Verified Impression</w:t>
            </w:r>
          </w:p>
        </w:tc>
        <w:tc>
          <w:tcPr>
            <w:tcW w:w="8400" w:type="dxa"/>
          </w:tcPr>
          <w:p w14:paraId="6C6D010F" w14:textId="77777777" w:rsidR="00A2611F" w:rsidRDefault="00000000">
            <w:pPr>
              <w:spacing w:after="40"/>
            </w:pPr>
            <w:r>
              <w:rPr>
                <w:sz w:val="16"/>
                <w:szCs w:val="16"/>
              </w:rPr>
              <w:t>In-store impression confirmed via sensor data showing presence and playout were time-aligned — Verified Playout combined with verified presence. An SA build-out target, not a floor.</w:t>
            </w:r>
          </w:p>
        </w:tc>
      </w:tr>
      <w:tr w:rsidR="00A2611F" w14:paraId="2872CB3C" w14:textId="77777777">
        <w:tc>
          <w:tcPr>
            <w:tcW w:w="2400" w:type="dxa"/>
          </w:tcPr>
          <w:p w14:paraId="0A124A63" w14:textId="77777777" w:rsidR="00A2611F" w:rsidRDefault="00000000">
            <w:pPr>
              <w:spacing w:after="40"/>
            </w:pPr>
            <w:r>
              <w:rPr>
                <w:sz w:val="16"/>
                <w:szCs w:val="16"/>
              </w:rPr>
              <w:t>Estimated Unique Reach</w:t>
            </w:r>
          </w:p>
        </w:tc>
        <w:tc>
          <w:tcPr>
            <w:tcW w:w="8400" w:type="dxa"/>
          </w:tcPr>
          <w:p w14:paraId="7ABC64C5" w14:textId="77777777" w:rsidR="00A2611F" w:rsidRDefault="00000000">
            <w:pPr>
              <w:spacing w:after="40"/>
            </w:pPr>
            <w:r>
              <w:rPr>
                <w:sz w:val="16"/>
                <w:szCs w:val="16"/>
              </w:rPr>
              <w:t>Deduplicated estimate of individuals with opportunity to see, modelled from Traffic/OTS data; the reach-side counterpart to OTS (§4.2).</w:t>
            </w:r>
          </w:p>
        </w:tc>
      </w:tr>
      <w:tr w:rsidR="00A2611F" w14:paraId="025E0702" w14:textId="77777777">
        <w:tc>
          <w:tcPr>
            <w:tcW w:w="2400" w:type="dxa"/>
          </w:tcPr>
          <w:p w14:paraId="56EB8567" w14:textId="77777777" w:rsidR="00A2611F" w:rsidRDefault="00000000">
            <w:pPr>
              <w:spacing w:after="40"/>
            </w:pPr>
            <w:r>
              <w:rPr>
                <w:sz w:val="16"/>
                <w:szCs w:val="16"/>
              </w:rPr>
              <w:t>Verified Reach</w:t>
            </w:r>
          </w:p>
        </w:tc>
        <w:tc>
          <w:tcPr>
            <w:tcW w:w="8400" w:type="dxa"/>
          </w:tcPr>
          <w:p w14:paraId="24699AA2" w14:textId="77777777" w:rsidR="00A2611F" w:rsidRDefault="00000000">
            <w:pPr>
              <w:spacing w:after="40"/>
            </w:pPr>
            <w:r>
              <w:rPr>
                <w:sz w:val="16"/>
                <w:szCs w:val="16"/>
              </w:rPr>
              <w:t>Sensor- or panel-validated deduplicated reach; the Advanced-tier endpoint of the reach-side spine (§4.2).</w:t>
            </w:r>
          </w:p>
        </w:tc>
      </w:tr>
      <w:tr w:rsidR="00A2611F" w14:paraId="1200186F" w14:textId="77777777">
        <w:tc>
          <w:tcPr>
            <w:tcW w:w="2400" w:type="dxa"/>
          </w:tcPr>
          <w:p w14:paraId="6C3F7625" w14:textId="77777777" w:rsidR="00A2611F" w:rsidRDefault="00000000">
            <w:pPr>
              <w:spacing w:after="40"/>
            </w:pPr>
            <w:r>
              <w:rPr>
                <w:sz w:val="16"/>
                <w:szCs w:val="16"/>
              </w:rPr>
              <w:t>GIVT / SIVT</w:t>
            </w:r>
          </w:p>
        </w:tc>
        <w:tc>
          <w:tcPr>
            <w:tcW w:w="8400" w:type="dxa"/>
          </w:tcPr>
          <w:p w14:paraId="59A45FE7" w14:textId="77777777" w:rsidR="00A2611F" w:rsidRDefault="00000000">
            <w:pPr>
              <w:spacing w:after="40"/>
            </w:pPr>
            <w:r>
              <w:rPr>
                <w:sz w:val="16"/>
                <w:szCs w:val="16"/>
              </w:rPr>
              <w:t>General and sophisticated invalid traffic. GIVT filtration against a recognized bot list is a baseline requirement for every impression-based metric (§1.6); SIVT filtration is part of the Standard-tier reporting floor itself for outcome measurement, not a step above it.</w:t>
            </w:r>
          </w:p>
        </w:tc>
      </w:tr>
      <w:tr w:rsidR="00A2611F" w14:paraId="0C06C1B0" w14:textId="77777777">
        <w:tc>
          <w:tcPr>
            <w:tcW w:w="2400" w:type="dxa"/>
          </w:tcPr>
          <w:p w14:paraId="28B602F0" w14:textId="77777777" w:rsidR="00A2611F" w:rsidRDefault="00000000">
            <w:pPr>
              <w:spacing w:after="40"/>
            </w:pPr>
            <w:r>
              <w:rPr>
                <w:sz w:val="16"/>
                <w:szCs w:val="16"/>
              </w:rPr>
              <w:t>Incrementality / iROAS</w:t>
            </w:r>
          </w:p>
        </w:tc>
        <w:tc>
          <w:tcPr>
            <w:tcW w:w="8400" w:type="dxa"/>
          </w:tcPr>
          <w:p w14:paraId="699B75E5" w14:textId="77777777" w:rsidR="00A2611F" w:rsidRDefault="00000000">
            <w:pPr>
              <w:spacing w:after="40"/>
            </w:pPr>
            <w:r>
              <w:rPr>
                <w:sz w:val="16"/>
                <w:szCs w:val="16"/>
              </w:rPr>
              <w:t>Causal impact above baseline; incremental sales ÷ spend. Requires a valid control group with disclosed methodology, including how the control was constructed (§3.1). Never used for a pre/post-only result.</w:t>
            </w:r>
          </w:p>
        </w:tc>
      </w:tr>
      <w:tr w:rsidR="00A2611F" w14:paraId="2C736282" w14:textId="77777777">
        <w:tc>
          <w:tcPr>
            <w:tcW w:w="2400" w:type="dxa"/>
          </w:tcPr>
          <w:p w14:paraId="7A413B33" w14:textId="77777777" w:rsidR="00A2611F" w:rsidRDefault="00000000">
            <w:pPr>
              <w:spacing w:after="40"/>
            </w:pPr>
            <w:r>
              <w:rPr>
                <w:sz w:val="16"/>
                <w:szCs w:val="16"/>
              </w:rPr>
              <w:t>Data Clean Room</w:t>
            </w:r>
          </w:p>
        </w:tc>
        <w:tc>
          <w:tcPr>
            <w:tcW w:w="8400" w:type="dxa"/>
          </w:tcPr>
          <w:p w14:paraId="3389118F" w14:textId="77777777" w:rsidR="00A2611F" w:rsidRDefault="00000000">
            <w:pPr>
              <w:spacing w:after="40"/>
            </w:pPr>
            <w:r>
              <w:rPr>
                <w:sz w:val="16"/>
                <w:szCs w:val="16"/>
              </w:rPr>
              <w:t>Privacy-safe environment for deterministic matching and incrementality without raw PII exposure. Preferred SA retailer-brand data-sharing architecture; must document its POPIA lawful basis (§1.9).</w:t>
            </w:r>
          </w:p>
        </w:tc>
      </w:tr>
      <w:tr w:rsidR="00A2611F" w14:paraId="7D6DE211" w14:textId="77777777">
        <w:tc>
          <w:tcPr>
            <w:tcW w:w="2400" w:type="dxa"/>
          </w:tcPr>
          <w:p w14:paraId="6196DA9C" w14:textId="77777777" w:rsidR="00A2611F" w:rsidRDefault="00000000">
            <w:pPr>
              <w:spacing w:after="40"/>
            </w:pPr>
            <w:r>
              <w:rPr>
                <w:sz w:val="16"/>
                <w:szCs w:val="16"/>
              </w:rPr>
              <w:t>Lifecycle Segment</w:t>
            </w:r>
          </w:p>
        </w:tc>
        <w:tc>
          <w:tcPr>
            <w:tcW w:w="8400" w:type="dxa"/>
          </w:tcPr>
          <w:p w14:paraId="734D7427" w14:textId="77777777" w:rsidR="00A2611F" w:rsidRDefault="00000000">
            <w:pPr>
              <w:spacing w:after="40"/>
            </w:pPr>
            <w:r>
              <w:rPr>
                <w:sz w:val="16"/>
                <w:szCs w:val="16"/>
              </w:rPr>
              <w:t>Lapsed / loyal / new classification used as the measurement primitive for direct marketing. Consent basis under POPIA must be disclosed.</w:t>
            </w:r>
          </w:p>
        </w:tc>
      </w:tr>
      <w:tr w:rsidR="00A2611F" w14:paraId="272B4A3B" w14:textId="77777777">
        <w:tc>
          <w:tcPr>
            <w:tcW w:w="2400" w:type="dxa"/>
          </w:tcPr>
          <w:p w14:paraId="7B86A793" w14:textId="77777777" w:rsidR="00A2611F" w:rsidRDefault="00000000">
            <w:pPr>
              <w:spacing w:after="40"/>
            </w:pPr>
            <w:r>
              <w:rPr>
                <w:sz w:val="16"/>
                <w:szCs w:val="16"/>
              </w:rPr>
              <w:t>Same-SKU / Halo / Total Attributed ROAS</w:t>
            </w:r>
          </w:p>
        </w:tc>
        <w:tc>
          <w:tcPr>
            <w:tcW w:w="8400" w:type="dxa"/>
          </w:tcPr>
          <w:p w14:paraId="77D7A6EA" w14:textId="77777777" w:rsidR="00A2611F" w:rsidRDefault="00000000">
            <w:pPr>
              <w:spacing w:after="40"/>
            </w:pPr>
            <w:r>
              <w:rPr>
                <w:sz w:val="16"/>
                <w:szCs w:val="16"/>
              </w:rPr>
              <w:t>Three distinct, separately reportable ROAS figures: Same-SKU (advertised SKU only), Halo (related products, including cross-category products from the same advertiser), and Total Attributed (the disclosed sum of both). See §2.2.</w:t>
            </w:r>
          </w:p>
        </w:tc>
      </w:tr>
      <w:tr w:rsidR="00A2611F" w14:paraId="50B8F8C5" w14:textId="77777777">
        <w:tc>
          <w:tcPr>
            <w:tcW w:w="2400" w:type="dxa"/>
          </w:tcPr>
          <w:p w14:paraId="42CB9093" w14:textId="77777777" w:rsidR="00A2611F" w:rsidRDefault="00000000">
            <w:pPr>
              <w:spacing w:after="40"/>
            </w:pPr>
            <w:r>
              <w:rPr>
                <w:sz w:val="16"/>
                <w:szCs w:val="16"/>
              </w:rPr>
              <w:t>Credible Counterfactual</w:t>
            </w:r>
          </w:p>
        </w:tc>
        <w:tc>
          <w:tcPr>
            <w:tcW w:w="8400" w:type="dxa"/>
          </w:tcPr>
          <w:p w14:paraId="16763AC3" w14:textId="77777777" w:rsidR="00A2611F" w:rsidRDefault="00000000">
            <w:pPr>
              <w:spacing w:after="40"/>
            </w:pPr>
            <w:r>
              <w:rPr>
                <w:sz w:val="16"/>
                <w:szCs w:val="16"/>
              </w:rPr>
              <w:t>A valid “what if not” scenario separating a treated group from an untreated one; the first of three requirements for a causal incrementality claim, together with control of bias and separation of signal from noise (§3.1.1).</w:t>
            </w:r>
          </w:p>
        </w:tc>
      </w:tr>
      <w:tr w:rsidR="00A2611F" w14:paraId="652D4C2D" w14:textId="77777777">
        <w:tc>
          <w:tcPr>
            <w:tcW w:w="2400" w:type="dxa"/>
          </w:tcPr>
          <w:p w14:paraId="632C84AA" w14:textId="77777777" w:rsidR="00A2611F" w:rsidRDefault="00000000">
            <w:pPr>
              <w:spacing w:after="40"/>
            </w:pPr>
            <w:r>
              <w:rPr>
                <w:sz w:val="16"/>
                <w:szCs w:val="16"/>
              </w:rPr>
              <w:t>Experiment-Based / Model-Based Counterfactual / Econometric / Hybrid Proxy</w:t>
            </w:r>
          </w:p>
        </w:tc>
        <w:tc>
          <w:tcPr>
            <w:tcW w:w="8400" w:type="dxa"/>
          </w:tcPr>
          <w:p w14:paraId="3DEA6B90" w14:textId="77777777" w:rsidR="00A2611F" w:rsidRDefault="00000000">
            <w:pPr>
              <w:spacing w:after="40"/>
            </w:pPr>
            <w:r>
              <w:rPr>
                <w:sz w:val="16"/>
                <w:szCs w:val="16"/>
              </w:rPr>
              <w:t>The four incrementality method categories recognised by current international guidance, mapped to this standard's Standard/Advanced tiers in §3.1.3, in order of increasing causal strength: hybrid proxy, econometric, model-based counterfactual, experiment-based.</w:t>
            </w:r>
          </w:p>
        </w:tc>
      </w:tr>
      <w:tr w:rsidR="00A2611F" w14:paraId="749B22B9" w14:textId="77777777">
        <w:tc>
          <w:tcPr>
            <w:tcW w:w="2400" w:type="dxa"/>
          </w:tcPr>
          <w:p w14:paraId="15D04486" w14:textId="77777777" w:rsidR="00A2611F" w:rsidRDefault="00000000">
            <w:pPr>
              <w:spacing w:after="40"/>
            </w:pPr>
            <w:r>
              <w:rPr>
                <w:sz w:val="16"/>
                <w:szCs w:val="16"/>
              </w:rPr>
              <w:t>New to Seller</w:t>
            </w:r>
          </w:p>
        </w:tc>
        <w:tc>
          <w:tcPr>
            <w:tcW w:w="8400" w:type="dxa"/>
          </w:tcPr>
          <w:p w14:paraId="71E18AEA" w14:textId="77777777" w:rsidR="00A2611F" w:rsidRDefault="00000000">
            <w:pPr>
              <w:spacing w:after="40"/>
            </w:pPr>
            <w:r>
              <w:rPr>
                <w:sz w:val="16"/>
                <w:szCs w:val="16"/>
              </w:rPr>
              <w:t>Marketplace analogue of New to Brand: a shopper with no prior purchase from a specific third-party marketplace seller within a disclosed window (§2.3).</w:t>
            </w:r>
          </w:p>
        </w:tc>
      </w:tr>
      <w:tr w:rsidR="00A2611F" w14:paraId="336DC8E2" w14:textId="77777777">
        <w:tc>
          <w:tcPr>
            <w:tcW w:w="2400" w:type="dxa"/>
          </w:tcPr>
          <w:p w14:paraId="7E900CD0" w14:textId="77777777" w:rsidR="00A2611F" w:rsidRDefault="00000000">
            <w:pPr>
              <w:spacing w:after="40"/>
            </w:pPr>
            <w:r>
              <w:rPr>
                <w:sz w:val="16"/>
                <w:szCs w:val="16"/>
              </w:rPr>
              <w:t>Post-Click / Post-View Window</w:t>
            </w:r>
          </w:p>
        </w:tc>
        <w:tc>
          <w:tcPr>
            <w:tcW w:w="8400" w:type="dxa"/>
          </w:tcPr>
          <w:p w14:paraId="77488045" w14:textId="77777777" w:rsidR="00A2611F" w:rsidRDefault="00000000">
            <w:pPr>
              <w:spacing w:after="40"/>
            </w:pPr>
            <w:r>
              <w:rPr>
                <w:sz w:val="16"/>
                <w:szCs w:val="16"/>
              </w:rPr>
              <w:t>Two distinct attribution windows that must be disclosed separately: post-click measures days from an ad click to purchase; post-view measures days from a viewable impression, without a click, to purchase (§1.8).</w:t>
            </w:r>
          </w:p>
        </w:tc>
      </w:tr>
      <w:tr w:rsidR="00A2611F" w14:paraId="46699AE8" w14:textId="77777777">
        <w:tc>
          <w:tcPr>
            <w:tcW w:w="2400" w:type="dxa"/>
          </w:tcPr>
          <w:p w14:paraId="15C05CA6" w14:textId="77777777" w:rsidR="00A2611F" w:rsidRDefault="00000000">
            <w:pPr>
              <w:spacing w:after="40"/>
            </w:pPr>
            <w:r>
              <w:rPr>
                <w:sz w:val="16"/>
                <w:szCs w:val="16"/>
              </w:rPr>
              <w:t>Shopper Intelligence</w:t>
            </w:r>
          </w:p>
        </w:tc>
        <w:tc>
          <w:tcPr>
            <w:tcW w:w="8400" w:type="dxa"/>
          </w:tcPr>
          <w:p w14:paraId="0FAEF7EB" w14:textId="77777777" w:rsidR="00A2611F" w:rsidRDefault="00000000">
            <w:pPr>
              <w:spacing w:after="40"/>
            </w:pPr>
            <w:r>
              <w:rPr>
                <w:sz w:val="16"/>
                <w:szCs w:val="16"/>
              </w:rPr>
              <w:t>Descriptive, diagnostic analysis of shopper behaviour and basket affinity, reported in §2.3.1 as Customer Insights rather than as causal measurement.</w:t>
            </w:r>
          </w:p>
        </w:tc>
      </w:tr>
      <w:tr w:rsidR="00A2611F" w14:paraId="3C24433C" w14:textId="77777777">
        <w:tc>
          <w:tcPr>
            <w:tcW w:w="2400" w:type="dxa"/>
          </w:tcPr>
          <w:p w14:paraId="5C689A62" w14:textId="77777777" w:rsidR="00A2611F" w:rsidRDefault="00000000">
            <w:pPr>
              <w:spacing w:after="40"/>
            </w:pPr>
            <w:r>
              <w:rPr>
                <w:sz w:val="16"/>
                <w:szCs w:val="16"/>
              </w:rPr>
              <w:t>Brand Lift</w:t>
            </w:r>
          </w:p>
        </w:tc>
        <w:tc>
          <w:tcPr>
            <w:tcW w:w="8400" w:type="dxa"/>
          </w:tcPr>
          <w:p w14:paraId="33F79538" w14:textId="77777777" w:rsidR="00A2611F" w:rsidRDefault="00000000">
            <w:pPr>
              <w:spacing w:after="40"/>
            </w:pPr>
            <w:r>
              <w:rPr>
                <w:sz w:val="16"/>
                <w:szCs w:val="16"/>
              </w:rPr>
              <w:t>Survey-based measurement of recall, awareness, or purchase intent among an exposed group versus a matched unexposed control group; distinct from sales incrementality and never a substitute for it (§3.5).</w:t>
            </w:r>
          </w:p>
        </w:tc>
      </w:tr>
      <w:tr w:rsidR="00A2611F" w14:paraId="46CBF3E3" w14:textId="77777777">
        <w:tc>
          <w:tcPr>
            <w:tcW w:w="2400" w:type="dxa"/>
          </w:tcPr>
          <w:p w14:paraId="56342FFC" w14:textId="77777777" w:rsidR="00A2611F" w:rsidRDefault="00000000">
            <w:pPr>
              <w:spacing w:after="40"/>
            </w:pPr>
            <w:r>
              <w:rPr>
                <w:sz w:val="16"/>
                <w:szCs w:val="16"/>
              </w:rPr>
              <w:t>MMM Data Export</w:t>
            </w:r>
          </w:p>
        </w:tc>
        <w:tc>
          <w:tcPr>
            <w:tcW w:w="8400" w:type="dxa"/>
          </w:tcPr>
          <w:p w14:paraId="2B21B28F" w14:textId="77777777" w:rsidR="00A2611F" w:rsidRDefault="00000000">
            <w:pPr>
              <w:spacing w:after="40"/>
            </w:pPr>
            <w:r>
              <w:rPr>
                <w:sz w:val="16"/>
                <w:szCs w:val="16"/>
              </w:rPr>
              <w:t>The retailer-supplied dataset — daily/weekly impressions, clicks, spend, and audience/region breakdowns by format, placement, and campaign — that feeds a brand's own MMM; a data-delivery capability, not a modelling output (§3.2).</w:t>
            </w:r>
          </w:p>
        </w:tc>
      </w:tr>
      <w:tr w:rsidR="00A2611F" w14:paraId="2AE58A39" w14:textId="77777777">
        <w:tc>
          <w:tcPr>
            <w:tcW w:w="2400" w:type="dxa"/>
          </w:tcPr>
          <w:p w14:paraId="19582070" w14:textId="77777777" w:rsidR="00A2611F" w:rsidRDefault="00000000">
            <w:pPr>
              <w:spacing w:after="40"/>
            </w:pPr>
            <w:r>
              <w:rPr>
                <w:sz w:val="16"/>
                <w:szCs w:val="16"/>
              </w:rPr>
              <w:t>Delivery Floor</w:t>
            </w:r>
          </w:p>
        </w:tc>
        <w:tc>
          <w:tcPr>
            <w:tcW w:w="8400" w:type="dxa"/>
          </w:tcPr>
          <w:p w14:paraId="64E11B69" w14:textId="77777777" w:rsidR="00A2611F" w:rsidRDefault="00000000">
            <w:pPr>
              <w:spacing w:after="40"/>
            </w:pPr>
            <w:r>
              <w:rPr>
                <w:sz w:val="16"/>
                <w:szCs w:val="16"/>
              </w:rPr>
              <w:t>The core delivery metrics in §2.1 (Ad Impression, Click/CTR, Spend/CPM/CPC, Reach &amp; Frequency), which carry no Not Applicable declaration and must be reported at Standard tier or above by every retailer in this standard (§1.1).</w:t>
            </w:r>
          </w:p>
        </w:tc>
      </w:tr>
    </w:tbl>
    <w:p w14:paraId="42F488F2" w14:textId="77777777" w:rsidR="00A2611F" w:rsidRDefault="00000000">
      <w:r>
        <w:br w:type="page"/>
      </w:r>
    </w:p>
    <w:p w14:paraId="3A367665" w14:textId="77777777" w:rsidR="00A2611F" w:rsidRDefault="00000000">
      <w:pPr>
        <w:pStyle w:val="Heading1"/>
      </w:pPr>
      <w:r>
        <w:lastRenderedPageBreak/>
        <w:t>Appendix A — Master Metric Matrix</w:t>
      </w:r>
    </w:p>
    <w:p w14:paraId="5668C94C" w14:textId="77777777" w:rsidR="00A2611F" w:rsidRDefault="00000000">
      <w:pPr>
        <w:spacing w:after="160" w:line="276" w:lineRule="auto"/>
        <w:jc w:val="both"/>
      </w:pPr>
      <w:r>
        <w:t>Every metric in the standard, its four-environment applicability, and its minimum reportable (Standard tier) requirement. On = On-site · Off = Off-site · DM = Direct Marketing · In = In-Store. Tier detail for digital metrics is in Section 2; for in-store metrics, Section 4.</w:t>
      </w:r>
    </w:p>
    <w:p w14:paraId="0CFF42D4" w14:textId="77777777" w:rsidR="00A2611F" w:rsidRDefault="00000000">
      <w:pPr>
        <w:spacing w:after="160" w:line="276" w:lineRule="auto"/>
        <w:jc w:val="both"/>
      </w:pPr>
      <w:r>
        <w:rPr>
          <w:b/>
          <w:bCs/>
        </w:rPr>
        <w:t xml:space="preserve">Mandatory vs conditional. </w:t>
      </w:r>
      <w:r>
        <w:t>The seven delivery metrics at the top of this matrix — Ad Impression through Reach &amp; Frequency — are the mandatory floor described in §1.1 and §2.1 and carry no Not Applicable option. Every other row is conditional: a retailer declares Not Applicable where its business model or media mix does not produce that metric.</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480"/>
        <w:gridCol w:w="480"/>
        <w:gridCol w:w="480"/>
        <w:gridCol w:w="560"/>
        <w:gridCol w:w="6600"/>
      </w:tblGrid>
      <w:tr w:rsidR="00A2611F" w14:paraId="4F7CCEA8" w14:textId="77777777">
        <w:trPr>
          <w:tblHeader/>
        </w:trPr>
        <w:tc>
          <w:tcPr>
            <w:tcW w:w="2200" w:type="dxa"/>
            <w:shd w:val="clear" w:color="auto" w:fill="D9D9D9"/>
            <w:vAlign w:val="center"/>
          </w:tcPr>
          <w:p w14:paraId="37B366CE" w14:textId="77777777" w:rsidR="00A2611F" w:rsidRDefault="00000000">
            <w:r>
              <w:rPr>
                <w:b/>
                <w:bCs/>
                <w:sz w:val="16"/>
                <w:szCs w:val="16"/>
              </w:rPr>
              <w:t>Metric</w:t>
            </w:r>
          </w:p>
        </w:tc>
        <w:tc>
          <w:tcPr>
            <w:tcW w:w="480" w:type="dxa"/>
            <w:shd w:val="clear" w:color="auto" w:fill="D9D9D9"/>
            <w:vAlign w:val="center"/>
          </w:tcPr>
          <w:p w14:paraId="787BB19E" w14:textId="77777777" w:rsidR="00A2611F" w:rsidRDefault="00000000">
            <w:r>
              <w:rPr>
                <w:b/>
                <w:bCs/>
                <w:sz w:val="16"/>
                <w:szCs w:val="16"/>
              </w:rPr>
              <w:t>On</w:t>
            </w:r>
          </w:p>
        </w:tc>
        <w:tc>
          <w:tcPr>
            <w:tcW w:w="480" w:type="dxa"/>
            <w:shd w:val="clear" w:color="auto" w:fill="D9D9D9"/>
            <w:vAlign w:val="center"/>
          </w:tcPr>
          <w:p w14:paraId="3C59F0DC" w14:textId="77777777" w:rsidR="00A2611F" w:rsidRDefault="00000000">
            <w:r>
              <w:rPr>
                <w:b/>
                <w:bCs/>
                <w:sz w:val="16"/>
                <w:szCs w:val="16"/>
              </w:rPr>
              <w:t>Off</w:t>
            </w:r>
          </w:p>
        </w:tc>
        <w:tc>
          <w:tcPr>
            <w:tcW w:w="480" w:type="dxa"/>
            <w:shd w:val="clear" w:color="auto" w:fill="D9D9D9"/>
            <w:vAlign w:val="center"/>
          </w:tcPr>
          <w:p w14:paraId="617A0881" w14:textId="77777777" w:rsidR="00A2611F" w:rsidRDefault="00000000">
            <w:r>
              <w:rPr>
                <w:b/>
                <w:bCs/>
                <w:sz w:val="16"/>
                <w:szCs w:val="16"/>
              </w:rPr>
              <w:t>DM</w:t>
            </w:r>
          </w:p>
        </w:tc>
        <w:tc>
          <w:tcPr>
            <w:tcW w:w="560" w:type="dxa"/>
            <w:shd w:val="clear" w:color="auto" w:fill="D9D9D9"/>
            <w:vAlign w:val="center"/>
          </w:tcPr>
          <w:p w14:paraId="21A51BE0" w14:textId="77777777" w:rsidR="00A2611F" w:rsidRDefault="00000000">
            <w:r>
              <w:rPr>
                <w:b/>
                <w:bCs/>
                <w:sz w:val="16"/>
                <w:szCs w:val="16"/>
              </w:rPr>
              <w:t>In</w:t>
            </w:r>
          </w:p>
        </w:tc>
        <w:tc>
          <w:tcPr>
            <w:tcW w:w="6600" w:type="dxa"/>
            <w:shd w:val="clear" w:color="auto" w:fill="D9D9D9"/>
            <w:vAlign w:val="center"/>
          </w:tcPr>
          <w:p w14:paraId="562B2023" w14:textId="77777777" w:rsidR="00A2611F" w:rsidRDefault="00000000">
            <w:r>
              <w:rPr>
                <w:b/>
                <w:bCs/>
                <w:sz w:val="16"/>
                <w:szCs w:val="16"/>
              </w:rPr>
              <w:t>Minimum reportable standard (Standard tier)</w:t>
            </w:r>
          </w:p>
        </w:tc>
      </w:tr>
      <w:tr w:rsidR="00A2611F" w14:paraId="54B395B1" w14:textId="77777777">
        <w:tc>
          <w:tcPr>
            <w:tcW w:w="2200" w:type="dxa"/>
          </w:tcPr>
          <w:p w14:paraId="0210EB1C" w14:textId="77777777" w:rsidR="00A2611F" w:rsidRDefault="00000000">
            <w:pPr>
              <w:spacing w:after="40"/>
            </w:pPr>
            <w:r>
              <w:rPr>
                <w:sz w:val="16"/>
                <w:szCs w:val="16"/>
              </w:rPr>
              <w:t>Ad Impression — mandatory</w:t>
            </w:r>
          </w:p>
        </w:tc>
        <w:tc>
          <w:tcPr>
            <w:tcW w:w="480" w:type="dxa"/>
          </w:tcPr>
          <w:p w14:paraId="5E18501C" w14:textId="77777777" w:rsidR="00A2611F" w:rsidRDefault="00000000">
            <w:pPr>
              <w:spacing w:after="40"/>
            </w:pPr>
            <w:r>
              <w:rPr>
                <w:sz w:val="16"/>
                <w:szCs w:val="16"/>
              </w:rPr>
              <w:t>✓</w:t>
            </w:r>
          </w:p>
        </w:tc>
        <w:tc>
          <w:tcPr>
            <w:tcW w:w="480" w:type="dxa"/>
          </w:tcPr>
          <w:p w14:paraId="65C63231" w14:textId="77777777" w:rsidR="00A2611F" w:rsidRDefault="00000000">
            <w:pPr>
              <w:spacing w:after="40"/>
            </w:pPr>
            <w:r>
              <w:rPr>
                <w:sz w:val="16"/>
                <w:szCs w:val="16"/>
              </w:rPr>
              <w:t>✓</w:t>
            </w:r>
          </w:p>
        </w:tc>
        <w:tc>
          <w:tcPr>
            <w:tcW w:w="480" w:type="dxa"/>
          </w:tcPr>
          <w:p w14:paraId="7F80617B" w14:textId="77777777" w:rsidR="00A2611F" w:rsidRDefault="00000000">
            <w:pPr>
              <w:spacing w:after="40"/>
            </w:pPr>
            <w:r>
              <w:rPr>
                <w:sz w:val="16"/>
                <w:szCs w:val="16"/>
              </w:rPr>
              <w:t>–</w:t>
            </w:r>
          </w:p>
        </w:tc>
        <w:tc>
          <w:tcPr>
            <w:tcW w:w="560" w:type="dxa"/>
          </w:tcPr>
          <w:p w14:paraId="7B28AA29" w14:textId="77777777" w:rsidR="00A2611F" w:rsidRDefault="00000000">
            <w:pPr>
              <w:spacing w:after="40"/>
            </w:pPr>
            <w:r>
              <w:rPr>
                <w:sz w:val="16"/>
                <w:szCs w:val="16"/>
              </w:rPr>
              <w:t>OTS</w:t>
            </w:r>
          </w:p>
        </w:tc>
        <w:tc>
          <w:tcPr>
            <w:tcW w:w="6600" w:type="dxa"/>
          </w:tcPr>
          <w:p w14:paraId="6214D81C" w14:textId="77777777" w:rsidR="00A2611F" w:rsidRDefault="00000000">
            <w:pPr>
              <w:spacing w:after="40"/>
            </w:pPr>
            <w:r>
              <w:rPr>
                <w:sz w:val="16"/>
                <w:szCs w:val="16"/>
              </w:rPr>
              <w:t>Client-side begin-to-render count, GIVT filtered against a recognized bot list (§1.6), reported by placement and format at campaign level, with the sponsored-product counting basis disclosed.</w:t>
            </w:r>
          </w:p>
        </w:tc>
      </w:tr>
      <w:tr w:rsidR="00A2611F" w14:paraId="615A5881" w14:textId="77777777">
        <w:tc>
          <w:tcPr>
            <w:tcW w:w="2200" w:type="dxa"/>
          </w:tcPr>
          <w:p w14:paraId="08829A3F" w14:textId="77777777" w:rsidR="00A2611F" w:rsidRDefault="00000000">
            <w:pPr>
              <w:spacing w:after="40"/>
            </w:pPr>
            <w:r>
              <w:rPr>
                <w:sz w:val="16"/>
                <w:szCs w:val="16"/>
              </w:rPr>
              <w:t>Viewable Impression — mandatory</w:t>
            </w:r>
          </w:p>
        </w:tc>
        <w:tc>
          <w:tcPr>
            <w:tcW w:w="480" w:type="dxa"/>
          </w:tcPr>
          <w:p w14:paraId="1564086E" w14:textId="77777777" w:rsidR="00A2611F" w:rsidRDefault="00000000">
            <w:pPr>
              <w:spacing w:after="40"/>
            </w:pPr>
            <w:r>
              <w:rPr>
                <w:sz w:val="16"/>
                <w:szCs w:val="16"/>
              </w:rPr>
              <w:t>✓</w:t>
            </w:r>
          </w:p>
        </w:tc>
        <w:tc>
          <w:tcPr>
            <w:tcW w:w="480" w:type="dxa"/>
          </w:tcPr>
          <w:p w14:paraId="39A41783" w14:textId="77777777" w:rsidR="00A2611F" w:rsidRDefault="00000000">
            <w:pPr>
              <w:spacing w:after="40"/>
            </w:pPr>
            <w:r>
              <w:rPr>
                <w:sz w:val="16"/>
                <w:szCs w:val="16"/>
              </w:rPr>
              <w:t>✓</w:t>
            </w:r>
          </w:p>
        </w:tc>
        <w:tc>
          <w:tcPr>
            <w:tcW w:w="480" w:type="dxa"/>
          </w:tcPr>
          <w:p w14:paraId="6726D53A" w14:textId="77777777" w:rsidR="00A2611F" w:rsidRDefault="00000000">
            <w:pPr>
              <w:spacing w:after="40"/>
            </w:pPr>
            <w:r>
              <w:rPr>
                <w:sz w:val="16"/>
                <w:szCs w:val="16"/>
              </w:rPr>
              <w:t>–</w:t>
            </w:r>
          </w:p>
        </w:tc>
        <w:tc>
          <w:tcPr>
            <w:tcW w:w="560" w:type="dxa"/>
          </w:tcPr>
          <w:p w14:paraId="57CF0DB3" w14:textId="77777777" w:rsidR="00A2611F" w:rsidRDefault="00000000">
            <w:pPr>
              <w:spacing w:after="40"/>
            </w:pPr>
            <w:r>
              <w:rPr>
                <w:sz w:val="16"/>
                <w:szCs w:val="16"/>
              </w:rPr>
              <w:t>OTS</w:t>
            </w:r>
          </w:p>
        </w:tc>
        <w:tc>
          <w:tcPr>
            <w:tcW w:w="6600" w:type="dxa"/>
          </w:tcPr>
          <w:p w14:paraId="3D4D80FE" w14:textId="77777777" w:rsidR="00A2611F" w:rsidRDefault="00000000">
            <w:pPr>
              <w:spacing w:after="40"/>
            </w:pPr>
            <w:r>
              <w:rPr>
                <w:sz w:val="16"/>
                <w:szCs w:val="16"/>
              </w:rPr>
              <w:t>Viewability rate and measurability rate reported, with non-viewable impressions shown separately and the measuring party disclosed.</w:t>
            </w:r>
          </w:p>
        </w:tc>
      </w:tr>
      <w:tr w:rsidR="00A2611F" w14:paraId="0938F7CE" w14:textId="77777777">
        <w:tc>
          <w:tcPr>
            <w:tcW w:w="2200" w:type="dxa"/>
          </w:tcPr>
          <w:p w14:paraId="62022A99" w14:textId="77777777" w:rsidR="00A2611F" w:rsidRDefault="00000000">
            <w:pPr>
              <w:spacing w:after="40"/>
            </w:pPr>
            <w:r>
              <w:rPr>
                <w:sz w:val="16"/>
                <w:szCs w:val="16"/>
              </w:rPr>
              <w:t>Click / CTR — mandatory</w:t>
            </w:r>
          </w:p>
        </w:tc>
        <w:tc>
          <w:tcPr>
            <w:tcW w:w="480" w:type="dxa"/>
          </w:tcPr>
          <w:p w14:paraId="08291257" w14:textId="77777777" w:rsidR="00A2611F" w:rsidRDefault="00000000">
            <w:pPr>
              <w:spacing w:after="40"/>
            </w:pPr>
            <w:r>
              <w:rPr>
                <w:sz w:val="16"/>
                <w:szCs w:val="16"/>
              </w:rPr>
              <w:t>✓</w:t>
            </w:r>
          </w:p>
        </w:tc>
        <w:tc>
          <w:tcPr>
            <w:tcW w:w="480" w:type="dxa"/>
          </w:tcPr>
          <w:p w14:paraId="2AB15685" w14:textId="77777777" w:rsidR="00A2611F" w:rsidRDefault="00000000">
            <w:pPr>
              <w:spacing w:after="40"/>
            </w:pPr>
            <w:r>
              <w:rPr>
                <w:sz w:val="16"/>
                <w:szCs w:val="16"/>
              </w:rPr>
              <w:t>✓</w:t>
            </w:r>
          </w:p>
        </w:tc>
        <w:tc>
          <w:tcPr>
            <w:tcW w:w="480" w:type="dxa"/>
          </w:tcPr>
          <w:p w14:paraId="7050E7A8" w14:textId="77777777" w:rsidR="00A2611F" w:rsidRDefault="00000000">
            <w:pPr>
              <w:spacing w:after="40"/>
            </w:pPr>
            <w:r>
              <w:rPr>
                <w:sz w:val="16"/>
                <w:szCs w:val="16"/>
              </w:rPr>
              <w:t>✓</w:t>
            </w:r>
          </w:p>
        </w:tc>
        <w:tc>
          <w:tcPr>
            <w:tcW w:w="560" w:type="dxa"/>
          </w:tcPr>
          <w:p w14:paraId="6AD412D6" w14:textId="77777777" w:rsidR="00A2611F" w:rsidRDefault="00000000">
            <w:pPr>
              <w:spacing w:after="40"/>
            </w:pPr>
            <w:r>
              <w:rPr>
                <w:sz w:val="16"/>
                <w:szCs w:val="16"/>
              </w:rPr>
              <w:t>–</w:t>
            </w:r>
          </w:p>
        </w:tc>
        <w:tc>
          <w:tcPr>
            <w:tcW w:w="6600" w:type="dxa"/>
          </w:tcPr>
          <w:p w14:paraId="64E390DA" w14:textId="77777777" w:rsidR="00A2611F" w:rsidRDefault="00000000">
            <w:pPr>
              <w:spacing w:after="40"/>
            </w:pPr>
            <w:r>
              <w:rPr>
                <w:sz w:val="16"/>
                <w:szCs w:val="16"/>
              </w:rPr>
              <w:t>Click count and CTR reported by placement, with invalid clicks filtered, the denominator disclosed, and keyword/search-term granularity where placement is search-driven.</w:t>
            </w:r>
          </w:p>
        </w:tc>
      </w:tr>
      <w:tr w:rsidR="00A2611F" w14:paraId="2740DA8A" w14:textId="77777777">
        <w:tc>
          <w:tcPr>
            <w:tcW w:w="2200" w:type="dxa"/>
          </w:tcPr>
          <w:p w14:paraId="69874FEF" w14:textId="77777777" w:rsidR="00A2611F" w:rsidRDefault="00000000">
            <w:pPr>
              <w:spacing w:after="40"/>
            </w:pPr>
            <w:r>
              <w:rPr>
                <w:sz w:val="16"/>
                <w:szCs w:val="16"/>
              </w:rPr>
              <w:t>Video Completion Rate — mandatory where video runs</w:t>
            </w:r>
          </w:p>
        </w:tc>
        <w:tc>
          <w:tcPr>
            <w:tcW w:w="480" w:type="dxa"/>
          </w:tcPr>
          <w:p w14:paraId="07126336" w14:textId="77777777" w:rsidR="00A2611F" w:rsidRDefault="00000000">
            <w:pPr>
              <w:spacing w:after="40"/>
            </w:pPr>
            <w:r>
              <w:rPr>
                <w:sz w:val="16"/>
                <w:szCs w:val="16"/>
              </w:rPr>
              <w:t>✓</w:t>
            </w:r>
          </w:p>
        </w:tc>
        <w:tc>
          <w:tcPr>
            <w:tcW w:w="480" w:type="dxa"/>
          </w:tcPr>
          <w:p w14:paraId="6774CADC" w14:textId="77777777" w:rsidR="00A2611F" w:rsidRDefault="00000000">
            <w:pPr>
              <w:spacing w:after="40"/>
            </w:pPr>
            <w:r>
              <w:rPr>
                <w:sz w:val="16"/>
                <w:szCs w:val="16"/>
              </w:rPr>
              <w:t>✓</w:t>
            </w:r>
          </w:p>
        </w:tc>
        <w:tc>
          <w:tcPr>
            <w:tcW w:w="480" w:type="dxa"/>
          </w:tcPr>
          <w:p w14:paraId="06973543" w14:textId="77777777" w:rsidR="00A2611F" w:rsidRDefault="00000000">
            <w:pPr>
              <w:spacing w:after="40"/>
            </w:pPr>
            <w:r>
              <w:rPr>
                <w:sz w:val="16"/>
                <w:szCs w:val="16"/>
              </w:rPr>
              <w:t>–</w:t>
            </w:r>
          </w:p>
        </w:tc>
        <w:tc>
          <w:tcPr>
            <w:tcW w:w="560" w:type="dxa"/>
          </w:tcPr>
          <w:p w14:paraId="71E30EEC" w14:textId="77777777" w:rsidR="00A2611F" w:rsidRDefault="00000000">
            <w:pPr>
              <w:spacing w:after="40"/>
            </w:pPr>
            <w:r>
              <w:rPr>
                <w:sz w:val="16"/>
                <w:szCs w:val="16"/>
              </w:rPr>
              <w:t>–</w:t>
            </w:r>
          </w:p>
        </w:tc>
        <w:tc>
          <w:tcPr>
            <w:tcW w:w="6600" w:type="dxa"/>
          </w:tcPr>
          <w:p w14:paraId="2EC06DCB" w14:textId="77777777" w:rsidR="00A2611F" w:rsidRDefault="00000000">
            <w:pPr>
              <w:spacing w:after="40"/>
            </w:pPr>
            <w:r>
              <w:rPr>
                <w:sz w:val="16"/>
                <w:szCs w:val="16"/>
              </w:rPr>
              <w:t>VCR reported by placement and creative, where video runs.</w:t>
            </w:r>
          </w:p>
        </w:tc>
      </w:tr>
      <w:tr w:rsidR="00A2611F" w14:paraId="1945173C" w14:textId="77777777">
        <w:tc>
          <w:tcPr>
            <w:tcW w:w="2200" w:type="dxa"/>
          </w:tcPr>
          <w:p w14:paraId="7E0CB925" w14:textId="77777777" w:rsidR="00A2611F" w:rsidRDefault="00000000">
            <w:pPr>
              <w:spacing w:after="40"/>
            </w:pPr>
            <w:r>
              <w:rPr>
                <w:sz w:val="16"/>
                <w:szCs w:val="16"/>
              </w:rPr>
              <w:t>Spend / CPM / CPC — mandatory</w:t>
            </w:r>
          </w:p>
        </w:tc>
        <w:tc>
          <w:tcPr>
            <w:tcW w:w="480" w:type="dxa"/>
          </w:tcPr>
          <w:p w14:paraId="4927B88D" w14:textId="77777777" w:rsidR="00A2611F" w:rsidRDefault="00000000">
            <w:pPr>
              <w:spacing w:after="40"/>
            </w:pPr>
            <w:r>
              <w:rPr>
                <w:sz w:val="16"/>
                <w:szCs w:val="16"/>
              </w:rPr>
              <w:t>✓</w:t>
            </w:r>
          </w:p>
        </w:tc>
        <w:tc>
          <w:tcPr>
            <w:tcW w:w="480" w:type="dxa"/>
          </w:tcPr>
          <w:p w14:paraId="13DFD9A9" w14:textId="77777777" w:rsidR="00A2611F" w:rsidRDefault="00000000">
            <w:pPr>
              <w:spacing w:after="40"/>
            </w:pPr>
            <w:r>
              <w:rPr>
                <w:sz w:val="16"/>
                <w:szCs w:val="16"/>
              </w:rPr>
              <w:t>✓</w:t>
            </w:r>
          </w:p>
        </w:tc>
        <w:tc>
          <w:tcPr>
            <w:tcW w:w="480" w:type="dxa"/>
          </w:tcPr>
          <w:p w14:paraId="0DADD31B" w14:textId="77777777" w:rsidR="00A2611F" w:rsidRDefault="00000000">
            <w:pPr>
              <w:spacing w:after="40"/>
            </w:pPr>
            <w:r>
              <w:rPr>
                <w:sz w:val="16"/>
                <w:szCs w:val="16"/>
              </w:rPr>
              <w:t>✓</w:t>
            </w:r>
          </w:p>
        </w:tc>
        <w:tc>
          <w:tcPr>
            <w:tcW w:w="560" w:type="dxa"/>
          </w:tcPr>
          <w:p w14:paraId="60887AD0" w14:textId="77777777" w:rsidR="00A2611F" w:rsidRDefault="00000000">
            <w:pPr>
              <w:spacing w:after="40"/>
            </w:pPr>
            <w:r>
              <w:rPr>
                <w:sz w:val="16"/>
                <w:szCs w:val="16"/>
              </w:rPr>
              <w:t>✓</w:t>
            </w:r>
          </w:p>
        </w:tc>
        <w:tc>
          <w:tcPr>
            <w:tcW w:w="6600" w:type="dxa"/>
          </w:tcPr>
          <w:p w14:paraId="6EDC6CC1" w14:textId="77777777" w:rsidR="00A2611F" w:rsidRDefault="00000000">
            <w:pPr>
              <w:spacing w:after="40"/>
            </w:pPr>
            <w:r>
              <w:rPr>
                <w:sz w:val="16"/>
                <w:szCs w:val="16"/>
              </w:rPr>
              <w:t>Total spend and derived CPM/CPC reported by placement and line item.</w:t>
            </w:r>
          </w:p>
        </w:tc>
      </w:tr>
      <w:tr w:rsidR="00A2611F" w14:paraId="06AF189D" w14:textId="77777777">
        <w:tc>
          <w:tcPr>
            <w:tcW w:w="2200" w:type="dxa"/>
          </w:tcPr>
          <w:p w14:paraId="0A991AAA" w14:textId="77777777" w:rsidR="00A2611F" w:rsidRDefault="00000000">
            <w:pPr>
              <w:spacing w:after="40"/>
            </w:pPr>
            <w:r>
              <w:rPr>
                <w:sz w:val="16"/>
                <w:szCs w:val="16"/>
              </w:rPr>
              <w:t>Share of Voice — mandatory where inventory structured</w:t>
            </w:r>
          </w:p>
        </w:tc>
        <w:tc>
          <w:tcPr>
            <w:tcW w:w="480" w:type="dxa"/>
          </w:tcPr>
          <w:p w14:paraId="2EA09246" w14:textId="77777777" w:rsidR="00A2611F" w:rsidRDefault="00000000">
            <w:pPr>
              <w:spacing w:after="40"/>
            </w:pPr>
            <w:r>
              <w:rPr>
                <w:sz w:val="16"/>
                <w:szCs w:val="16"/>
              </w:rPr>
              <w:t>✓</w:t>
            </w:r>
          </w:p>
        </w:tc>
        <w:tc>
          <w:tcPr>
            <w:tcW w:w="480" w:type="dxa"/>
          </w:tcPr>
          <w:p w14:paraId="611848D7" w14:textId="77777777" w:rsidR="00A2611F" w:rsidRDefault="00000000">
            <w:pPr>
              <w:spacing w:after="40"/>
            </w:pPr>
            <w:r>
              <w:rPr>
                <w:sz w:val="16"/>
                <w:szCs w:val="16"/>
              </w:rPr>
              <w:t>–</w:t>
            </w:r>
          </w:p>
        </w:tc>
        <w:tc>
          <w:tcPr>
            <w:tcW w:w="480" w:type="dxa"/>
          </w:tcPr>
          <w:p w14:paraId="7BAF4FE5" w14:textId="77777777" w:rsidR="00A2611F" w:rsidRDefault="00000000">
            <w:pPr>
              <w:spacing w:after="40"/>
            </w:pPr>
            <w:r>
              <w:rPr>
                <w:sz w:val="16"/>
                <w:szCs w:val="16"/>
              </w:rPr>
              <w:t>–</w:t>
            </w:r>
          </w:p>
        </w:tc>
        <w:tc>
          <w:tcPr>
            <w:tcW w:w="560" w:type="dxa"/>
          </w:tcPr>
          <w:p w14:paraId="0F9904B2" w14:textId="77777777" w:rsidR="00A2611F" w:rsidRDefault="00000000">
            <w:pPr>
              <w:spacing w:after="40"/>
            </w:pPr>
            <w:r>
              <w:rPr>
                <w:sz w:val="16"/>
                <w:szCs w:val="16"/>
              </w:rPr>
              <w:t>–</w:t>
            </w:r>
          </w:p>
        </w:tc>
        <w:tc>
          <w:tcPr>
            <w:tcW w:w="6600" w:type="dxa"/>
          </w:tcPr>
          <w:p w14:paraId="7C55E7EB" w14:textId="77777777" w:rsidR="00A2611F" w:rsidRDefault="00000000">
            <w:pPr>
              <w:spacing w:after="40"/>
            </w:pPr>
            <w:r>
              <w:rPr>
                <w:sz w:val="16"/>
                <w:szCs w:val="16"/>
              </w:rPr>
              <w:t>SOV by category where inventory is structured.</w:t>
            </w:r>
          </w:p>
        </w:tc>
      </w:tr>
      <w:tr w:rsidR="00A2611F" w14:paraId="3D7E0A27" w14:textId="77777777">
        <w:tc>
          <w:tcPr>
            <w:tcW w:w="2200" w:type="dxa"/>
          </w:tcPr>
          <w:p w14:paraId="064FE46E" w14:textId="77777777" w:rsidR="00A2611F" w:rsidRDefault="00000000">
            <w:pPr>
              <w:spacing w:after="40"/>
            </w:pPr>
            <w:r>
              <w:rPr>
                <w:sz w:val="16"/>
                <w:szCs w:val="16"/>
              </w:rPr>
              <w:t>Reach &amp; Frequency — mandatory</w:t>
            </w:r>
          </w:p>
        </w:tc>
        <w:tc>
          <w:tcPr>
            <w:tcW w:w="480" w:type="dxa"/>
          </w:tcPr>
          <w:p w14:paraId="41FAF593" w14:textId="77777777" w:rsidR="00A2611F" w:rsidRDefault="00000000">
            <w:pPr>
              <w:spacing w:after="40"/>
            </w:pPr>
            <w:r>
              <w:rPr>
                <w:sz w:val="16"/>
                <w:szCs w:val="16"/>
              </w:rPr>
              <w:t>✓</w:t>
            </w:r>
          </w:p>
        </w:tc>
        <w:tc>
          <w:tcPr>
            <w:tcW w:w="480" w:type="dxa"/>
          </w:tcPr>
          <w:p w14:paraId="53ABE949" w14:textId="77777777" w:rsidR="00A2611F" w:rsidRDefault="00000000">
            <w:pPr>
              <w:spacing w:after="40"/>
            </w:pPr>
            <w:r>
              <w:rPr>
                <w:sz w:val="16"/>
                <w:szCs w:val="16"/>
              </w:rPr>
              <w:t>✓</w:t>
            </w:r>
          </w:p>
        </w:tc>
        <w:tc>
          <w:tcPr>
            <w:tcW w:w="480" w:type="dxa"/>
          </w:tcPr>
          <w:p w14:paraId="05216A0B" w14:textId="77777777" w:rsidR="00A2611F" w:rsidRDefault="00000000">
            <w:pPr>
              <w:spacing w:after="40"/>
            </w:pPr>
            <w:r>
              <w:rPr>
                <w:sz w:val="16"/>
                <w:szCs w:val="16"/>
              </w:rPr>
              <w:t>✓</w:t>
            </w:r>
          </w:p>
        </w:tc>
        <w:tc>
          <w:tcPr>
            <w:tcW w:w="560" w:type="dxa"/>
          </w:tcPr>
          <w:p w14:paraId="6DEDD746" w14:textId="77777777" w:rsidR="00A2611F" w:rsidRDefault="00000000">
            <w:pPr>
              <w:spacing w:after="40"/>
            </w:pPr>
            <w:r>
              <w:rPr>
                <w:sz w:val="16"/>
                <w:szCs w:val="16"/>
              </w:rPr>
              <w:t>OTS</w:t>
            </w:r>
          </w:p>
        </w:tc>
        <w:tc>
          <w:tcPr>
            <w:tcW w:w="6600" w:type="dxa"/>
          </w:tcPr>
          <w:p w14:paraId="586889DF" w14:textId="77777777" w:rsidR="00A2611F" w:rsidRDefault="00000000">
            <w:pPr>
              <w:spacing w:after="40"/>
            </w:pPr>
            <w:r>
              <w:rPr>
                <w:sz w:val="16"/>
                <w:szCs w:val="16"/>
              </w:rPr>
              <w:t>Reach and frequency reported at campaign level, deduplicated within environment.</w:t>
            </w:r>
          </w:p>
        </w:tc>
      </w:tr>
      <w:tr w:rsidR="00A2611F" w14:paraId="4D8FF5FB" w14:textId="77777777">
        <w:tc>
          <w:tcPr>
            <w:tcW w:w="2200" w:type="dxa"/>
          </w:tcPr>
          <w:p w14:paraId="2758415A" w14:textId="77777777" w:rsidR="00A2611F" w:rsidRDefault="00000000">
            <w:pPr>
              <w:spacing w:after="40"/>
            </w:pPr>
            <w:r>
              <w:rPr>
                <w:sz w:val="16"/>
                <w:szCs w:val="16"/>
              </w:rPr>
              <w:t>ROAS — Same-SKU</w:t>
            </w:r>
          </w:p>
        </w:tc>
        <w:tc>
          <w:tcPr>
            <w:tcW w:w="480" w:type="dxa"/>
          </w:tcPr>
          <w:p w14:paraId="7FCFE299" w14:textId="77777777" w:rsidR="00A2611F" w:rsidRDefault="00000000">
            <w:pPr>
              <w:spacing w:after="40"/>
            </w:pPr>
            <w:r>
              <w:rPr>
                <w:sz w:val="16"/>
                <w:szCs w:val="16"/>
              </w:rPr>
              <w:t>✓</w:t>
            </w:r>
          </w:p>
        </w:tc>
        <w:tc>
          <w:tcPr>
            <w:tcW w:w="480" w:type="dxa"/>
          </w:tcPr>
          <w:p w14:paraId="6534FDAB" w14:textId="77777777" w:rsidR="00A2611F" w:rsidRDefault="00000000">
            <w:pPr>
              <w:spacing w:after="40"/>
            </w:pPr>
            <w:r>
              <w:rPr>
                <w:sz w:val="16"/>
                <w:szCs w:val="16"/>
              </w:rPr>
              <w:t>✓</w:t>
            </w:r>
          </w:p>
        </w:tc>
        <w:tc>
          <w:tcPr>
            <w:tcW w:w="480" w:type="dxa"/>
          </w:tcPr>
          <w:p w14:paraId="3CF46D27" w14:textId="77777777" w:rsidR="00A2611F" w:rsidRDefault="00000000">
            <w:pPr>
              <w:spacing w:after="40"/>
            </w:pPr>
            <w:r>
              <w:rPr>
                <w:sz w:val="16"/>
                <w:szCs w:val="16"/>
              </w:rPr>
              <w:t>✓</w:t>
            </w:r>
          </w:p>
        </w:tc>
        <w:tc>
          <w:tcPr>
            <w:tcW w:w="560" w:type="dxa"/>
          </w:tcPr>
          <w:p w14:paraId="080C3774" w14:textId="77777777" w:rsidR="00A2611F" w:rsidRDefault="00000000">
            <w:pPr>
              <w:spacing w:after="40"/>
            </w:pPr>
            <w:r>
              <w:rPr>
                <w:sz w:val="16"/>
                <w:szCs w:val="16"/>
              </w:rPr>
              <w:t>POS</w:t>
            </w:r>
          </w:p>
        </w:tc>
        <w:tc>
          <w:tcPr>
            <w:tcW w:w="6600" w:type="dxa"/>
          </w:tcPr>
          <w:p w14:paraId="57B81F27" w14:textId="77777777" w:rsidR="00A2611F" w:rsidRDefault="00000000">
            <w:pPr>
              <w:spacing w:after="40"/>
            </w:pPr>
            <w:r>
              <w:rPr>
                <w:sz w:val="16"/>
                <w:szCs w:val="16"/>
              </w:rPr>
              <w:t>Gross and net both labelled (net required for on-site, §1.4), with the disclosed attribution window and post-click/post-view basis.</w:t>
            </w:r>
          </w:p>
        </w:tc>
      </w:tr>
      <w:tr w:rsidR="00A2611F" w14:paraId="4972FCC6" w14:textId="77777777">
        <w:tc>
          <w:tcPr>
            <w:tcW w:w="2200" w:type="dxa"/>
          </w:tcPr>
          <w:p w14:paraId="26DC7DB8" w14:textId="77777777" w:rsidR="00A2611F" w:rsidRDefault="00000000">
            <w:pPr>
              <w:spacing w:after="40"/>
            </w:pPr>
            <w:r>
              <w:rPr>
                <w:sz w:val="16"/>
                <w:szCs w:val="16"/>
              </w:rPr>
              <w:t>ROAS — Click vs View</w:t>
            </w:r>
          </w:p>
        </w:tc>
        <w:tc>
          <w:tcPr>
            <w:tcW w:w="480" w:type="dxa"/>
          </w:tcPr>
          <w:p w14:paraId="73CFC605" w14:textId="77777777" w:rsidR="00A2611F" w:rsidRDefault="00000000">
            <w:pPr>
              <w:spacing w:after="40"/>
            </w:pPr>
            <w:r>
              <w:rPr>
                <w:sz w:val="16"/>
                <w:szCs w:val="16"/>
              </w:rPr>
              <w:t>✓</w:t>
            </w:r>
          </w:p>
        </w:tc>
        <w:tc>
          <w:tcPr>
            <w:tcW w:w="480" w:type="dxa"/>
          </w:tcPr>
          <w:p w14:paraId="04ECA747" w14:textId="77777777" w:rsidR="00A2611F" w:rsidRDefault="00000000">
            <w:pPr>
              <w:spacing w:after="40"/>
            </w:pPr>
            <w:r>
              <w:rPr>
                <w:sz w:val="16"/>
                <w:szCs w:val="16"/>
              </w:rPr>
              <w:t>✓</w:t>
            </w:r>
          </w:p>
        </w:tc>
        <w:tc>
          <w:tcPr>
            <w:tcW w:w="480" w:type="dxa"/>
          </w:tcPr>
          <w:p w14:paraId="05DA1335" w14:textId="77777777" w:rsidR="00A2611F" w:rsidRDefault="00000000">
            <w:pPr>
              <w:spacing w:after="40"/>
            </w:pPr>
            <w:r>
              <w:rPr>
                <w:sz w:val="16"/>
                <w:szCs w:val="16"/>
              </w:rPr>
              <w:t>–</w:t>
            </w:r>
          </w:p>
        </w:tc>
        <w:tc>
          <w:tcPr>
            <w:tcW w:w="560" w:type="dxa"/>
          </w:tcPr>
          <w:p w14:paraId="1A1F8583" w14:textId="77777777" w:rsidR="00A2611F" w:rsidRDefault="00000000">
            <w:pPr>
              <w:spacing w:after="40"/>
            </w:pPr>
            <w:r>
              <w:rPr>
                <w:sz w:val="16"/>
                <w:szCs w:val="16"/>
              </w:rPr>
              <w:t>–</w:t>
            </w:r>
          </w:p>
        </w:tc>
        <w:tc>
          <w:tcPr>
            <w:tcW w:w="6600" w:type="dxa"/>
          </w:tcPr>
          <w:p w14:paraId="4651C157" w14:textId="77777777" w:rsidR="00A2611F" w:rsidRDefault="00000000">
            <w:pPr>
              <w:spacing w:after="40"/>
            </w:pPr>
            <w:r>
              <w:rPr>
                <w:sz w:val="16"/>
                <w:szCs w:val="16"/>
              </w:rPr>
              <w:t>Click and view reported separately, with the basis disclosed.</w:t>
            </w:r>
          </w:p>
        </w:tc>
      </w:tr>
      <w:tr w:rsidR="00A2611F" w14:paraId="7A824B86" w14:textId="77777777">
        <w:tc>
          <w:tcPr>
            <w:tcW w:w="2200" w:type="dxa"/>
          </w:tcPr>
          <w:p w14:paraId="5B580D6C" w14:textId="77777777" w:rsidR="00A2611F" w:rsidRDefault="00000000">
            <w:pPr>
              <w:spacing w:after="40"/>
            </w:pPr>
            <w:r>
              <w:rPr>
                <w:sz w:val="16"/>
                <w:szCs w:val="16"/>
              </w:rPr>
              <w:t>Halo ROAS</w:t>
            </w:r>
          </w:p>
        </w:tc>
        <w:tc>
          <w:tcPr>
            <w:tcW w:w="480" w:type="dxa"/>
          </w:tcPr>
          <w:p w14:paraId="5C07CBBD" w14:textId="77777777" w:rsidR="00A2611F" w:rsidRDefault="00000000">
            <w:pPr>
              <w:spacing w:after="40"/>
            </w:pPr>
            <w:r>
              <w:rPr>
                <w:sz w:val="16"/>
                <w:szCs w:val="16"/>
              </w:rPr>
              <w:t>✓</w:t>
            </w:r>
          </w:p>
        </w:tc>
        <w:tc>
          <w:tcPr>
            <w:tcW w:w="480" w:type="dxa"/>
          </w:tcPr>
          <w:p w14:paraId="321FF3E4" w14:textId="77777777" w:rsidR="00A2611F" w:rsidRDefault="00000000">
            <w:pPr>
              <w:spacing w:after="40"/>
            </w:pPr>
            <w:r>
              <w:rPr>
                <w:sz w:val="16"/>
                <w:szCs w:val="16"/>
              </w:rPr>
              <w:t>✓</w:t>
            </w:r>
          </w:p>
        </w:tc>
        <w:tc>
          <w:tcPr>
            <w:tcW w:w="480" w:type="dxa"/>
          </w:tcPr>
          <w:p w14:paraId="0EDC50B1" w14:textId="77777777" w:rsidR="00A2611F" w:rsidRDefault="00000000">
            <w:pPr>
              <w:spacing w:after="40"/>
            </w:pPr>
            <w:r>
              <w:rPr>
                <w:sz w:val="16"/>
                <w:szCs w:val="16"/>
              </w:rPr>
              <w:t>–</w:t>
            </w:r>
          </w:p>
        </w:tc>
        <w:tc>
          <w:tcPr>
            <w:tcW w:w="560" w:type="dxa"/>
          </w:tcPr>
          <w:p w14:paraId="35104821" w14:textId="77777777" w:rsidR="00A2611F" w:rsidRDefault="00000000">
            <w:pPr>
              <w:spacing w:after="40"/>
            </w:pPr>
            <w:r>
              <w:rPr>
                <w:sz w:val="16"/>
                <w:szCs w:val="16"/>
              </w:rPr>
              <w:t>POS</w:t>
            </w:r>
          </w:p>
        </w:tc>
        <w:tc>
          <w:tcPr>
            <w:tcW w:w="6600" w:type="dxa"/>
          </w:tcPr>
          <w:p w14:paraId="4CABEBCF" w14:textId="77777777" w:rsidR="00A2611F" w:rsidRDefault="00000000">
            <w:pPr>
              <w:spacing w:after="40"/>
            </w:pPr>
            <w:r>
              <w:rPr>
                <w:sz w:val="16"/>
                <w:szCs w:val="16"/>
              </w:rPr>
              <w:t>Halo disclosed, catalogue-defined, cross-category logic disclosed.</w:t>
            </w:r>
          </w:p>
        </w:tc>
      </w:tr>
      <w:tr w:rsidR="00A2611F" w14:paraId="15374D92" w14:textId="77777777">
        <w:tc>
          <w:tcPr>
            <w:tcW w:w="2200" w:type="dxa"/>
          </w:tcPr>
          <w:p w14:paraId="73984006" w14:textId="77777777" w:rsidR="00A2611F" w:rsidRDefault="00000000">
            <w:pPr>
              <w:spacing w:after="40"/>
            </w:pPr>
            <w:r>
              <w:rPr>
                <w:sz w:val="16"/>
                <w:szCs w:val="16"/>
              </w:rPr>
              <w:t>Total Attributed ROAS</w:t>
            </w:r>
          </w:p>
        </w:tc>
        <w:tc>
          <w:tcPr>
            <w:tcW w:w="480" w:type="dxa"/>
          </w:tcPr>
          <w:p w14:paraId="32DD1932" w14:textId="77777777" w:rsidR="00A2611F" w:rsidRDefault="00000000">
            <w:pPr>
              <w:spacing w:after="40"/>
            </w:pPr>
            <w:r>
              <w:rPr>
                <w:sz w:val="16"/>
                <w:szCs w:val="16"/>
              </w:rPr>
              <w:t>✓</w:t>
            </w:r>
          </w:p>
        </w:tc>
        <w:tc>
          <w:tcPr>
            <w:tcW w:w="480" w:type="dxa"/>
          </w:tcPr>
          <w:p w14:paraId="671C661C" w14:textId="77777777" w:rsidR="00A2611F" w:rsidRDefault="00000000">
            <w:pPr>
              <w:spacing w:after="40"/>
            </w:pPr>
            <w:r>
              <w:rPr>
                <w:sz w:val="16"/>
                <w:szCs w:val="16"/>
              </w:rPr>
              <w:t>✓</w:t>
            </w:r>
          </w:p>
        </w:tc>
        <w:tc>
          <w:tcPr>
            <w:tcW w:w="480" w:type="dxa"/>
          </w:tcPr>
          <w:p w14:paraId="47861CEF" w14:textId="77777777" w:rsidR="00A2611F" w:rsidRDefault="00000000">
            <w:pPr>
              <w:spacing w:after="40"/>
            </w:pPr>
            <w:r>
              <w:rPr>
                <w:sz w:val="16"/>
                <w:szCs w:val="16"/>
              </w:rPr>
              <w:t>–</w:t>
            </w:r>
          </w:p>
        </w:tc>
        <w:tc>
          <w:tcPr>
            <w:tcW w:w="560" w:type="dxa"/>
          </w:tcPr>
          <w:p w14:paraId="7F10D1B7" w14:textId="77777777" w:rsidR="00A2611F" w:rsidRDefault="00000000">
            <w:pPr>
              <w:spacing w:after="40"/>
            </w:pPr>
            <w:r>
              <w:rPr>
                <w:sz w:val="16"/>
                <w:szCs w:val="16"/>
              </w:rPr>
              <w:t>POS</w:t>
            </w:r>
          </w:p>
        </w:tc>
        <w:tc>
          <w:tcPr>
            <w:tcW w:w="6600" w:type="dxa"/>
          </w:tcPr>
          <w:p w14:paraId="434A51F7" w14:textId="77777777" w:rsidR="00A2611F" w:rsidRDefault="00000000">
            <w:pPr>
              <w:spacing w:after="40"/>
            </w:pPr>
            <w:r>
              <w:rPr>
                <w:sz w:val="16"/>
                <w:szCs w:val="16"/>
              </w:rPr>
              <w:t>Reported as the disclosed sum of its labelled components.</w:t>
            </w:r>
          </w:p>
        </w:tc>
      </w:tr>
      <w:tr w:rsidR="00A2611F" w14:paraId="0CEF5E4F" w14:textId="77777777">
        <w:tc>
          <w:tcPr>
            <w:tcW w:w="2200" w:type="dxa"/>
          </w:tcPr>
          <w:p w14:paraId="05A78F8B" w14:textId="77777777" w:rsidR="00A2611F" w:rsidRDefault="00000000">
            <w:pPr>
              <w:spacing w:after="40"/>
            </w:pPr>
            <w:r>
              <w:rPr>
                <w:sz w:val="16"/>
                <w:szCs w:val="16"/>
              </w:rPr>
              <w:t>Attributed Sales (Omni)</w:t>
            </w:r>
          </w:p>
        </w:tc>
        <w:tc>
          <w:tcPr>
            <w:tcW w:w="480" w:type="dxa"/>
          </w:tcPr>
          <w:p w14:paraId="083A6F23" w14:textId="77777777" w:rsidR="00A2611F" w:rsidRDefault="00000000">
            <w:pPr>
              <w:spacing w:after="40"/>
            </w:pPr>
            <w:r>
              <w:rPr>
                <w:sz w:val="16"/>
                <w:szCs w:val="16"/>
              </w:rPr>
              <w:t>✓</w:t>
            </w:r>
          </w:p>
        </w:tc>
        <w:tc>
          <w:tcPr>
            <w:tcW w:w="480" w:type="dxa"/>
          </w:tcPr>
          <w:p w14:paraId="44C64890" w14:textId="77777777" w:rsidR="00A2611F" w:rsidRDefault="00000000">
            <w:pPr>
              <w:spacing w:after="40"/>
            </w:pPr>
            <w:r>
              <w:rPr>
                <w:sz w:val="16"/>
                <w:szCs w:val="16"/>
              </w:rPr>
              <w:t>✓</w:t>
            </w:r>
          </w:p>
        </w:tc>
        <w:tc>
          <w:tcPr>
            <w:tcW w:w="480" w:type="dxa"/>
          </w:tcPr>
          <w:p w14:paraId="05DA94A8" w14:textId="77777777" w:rsidR="00A2611F" w:rsidRDefault="00000000">
            <w:pPr>
              <w:spacing w:after="40"/>
            </w:pPr>
            <w:r>
              <w:rPr>
                <w:sz w:val="16"/>
                <w:szCs w:val="16"/>
              </w:rPr>
              <w:t>✓</w:t>
            </w:r>
          </w:p>
        </w:tc>
        <w:tc>
          <w:tcPr>
            <w:tcW w:w="560" w:type="dxa"/>
          </w:tcPr>
          <w:p w14:paraId="2D85AA6E" w14:textId="77777777" w:rsidR="00A2611F" w:rsidRDefault="00000000">
            <w:pPr>
              <w:spacing w:after="40"/>
            </w:pPr>
            <w:r>
              <w:rPr>
                <w:sz w:val="16"/>
                <w:szCs w:val="16"/>
              </w:rPr>
              <w:t>POS</w:t>
            </w:r>
          </w:p>
        </w:tc>
        <w:tc>
          <w:tcPr>
            <w:tcW w:w="6600" w:type="dxa"/>
          </w:tcPr>
          <w:p w14:paraId="7BE7F6AE" w14:textId="77777777" w:rsidR="00A2611F" w:rsidRDefault="00000000">
            <w:pPr>
              <w:spacing w:after="40"/>
            </w:pPr>
            <w:r>
              <w:rPr>
                <w:sz w:val="16"/>
                <w:szCs w:val="16"/>
              </w:rPr>
              <w:t>Online and offline attributed sales differentiated, with the 1P/3P basis stated.</w:t>
            </w:r>
          </w:p>
        </w:tc>
      </w:tr>
      <w:tr w:rsidR="00A2611F" w14:paraId="37F6F1B6" w14:textId="77777777">
        <w:tc>
          <w:tcPr>
            <w:tcW w:w="2200" w:type="dxa"/>
          </w:tcPr>
          <w:p w14:paraId="5601C228" w14:textId="77777777" w:rsidR="00A2611F" w:rsidRDefault="00000000">
            <w:pPr>
              <w:spacing w:after="40"/>
            </w:pPr>
            <w:r>
              <w:rPr>
                <w:sz w:val="16"/>
                <w:szCs w:val="16"/>
              </w:rPr>
              <w:t>Conversion Rate</w:t>
            </w:r>
          </w:p>
        </w:tc>
        <w:tc>
          <w:tcPr>
            <w:tcW w:w="480" w:type="dxa"/>
          </w:tcPr>
          <w:p w14:paraId="1C8260FC" w14:textId="77777777" w:rsidR="00A2611F" w:rsidRDefault="00000000">
            <w:pPr>
              <w:spacing w:after="40"/>
            </w:pPr>
            <w:r>
              <w:rPr>
                <w:sz w:val="16"/>
                <w:szCs w:val="16"/>
              </w:rPr>
              <w:t>✓</w:t>
            </w:r>
          </w:p>
        </w:tc>
        <w:tc>
          <w:tcPr>
            <w:tcW w:w="480" w:type="dxa"/>
          </w:tcPr>
          <w:p w14:paraId="50CF5EF7" w14:textId="77777777" w:rsidR="00A2611F" w:rsidRDefault="00000000">
            <w:pPr>
              <w:spacing w:after="40"/>
            </w:pPr>
            <w:r>
              <w:rPr>
                <w:sz w:val="16"/>
                <w:szCs w:val="16"/>
              </w:rPr>
              <w:t>✓</w:t>
            </w:r>
          </w:p>
        </w:tc>
        <w:tc>
          <w:tcPr>
            <w:tcW w:w="480" w:type="dxa"/>
          </w:tcPr>
          <w:p w14:paraId="3E7B0525" w14:textId="77777777" w:rsidR="00A2611F" w:rsidRDefault="00000000">
            <w:pPr>
              <w:spacing w:after="40"/>
            </w:pPr>
            <w:r>
              <w:rPr>
                <w:sz w:val="16"/>
                <w:szCs w:val="16"/>
              </w:rPr>
              <w:t>✓</w:t>
            </w:r>
          </w:p>
        </w:tc>
        <w:tc>
          <w:tcPr>
            <w:tcW w:w="560" w:type="dxa"/>
          </w:tcPr>
          <w:p w14:paraId="10812700" w14:textId="77777777" w:rsidR="00A2611F" w:rsidRDefault="00000000">
            <w:pPr>
              <w:spacing w:after="40"/>
            </w:pPr>
            <w:r>
              <w:rPr>
                <w:sz w:val="16"/>
                <w:szCs w:val="16"/>
              </w:rPr>
              <w:t>–</w:t>
            </w:r>
          </w:p>
        </w:tc>
        <w:tc>
          <w:tcPr>
            <w:tcW w:w="6600" w:type="dxa"/>
          </w:tcPr>
          <w:p w14:paraId="45C1D436" w14:textId="77777777" w:rsidR="00A2611F" w:rsidRDefault="00000000">
            <w:pPr>
              <w:spacing w:after="40"/>
            </w:pPr>
            <w:r>
              <w:rPr>
                <w:sz w:val="16"/>
                <w:szCs w:val="16"/>
              </w:rPr>
              <w:t>Online and omni conversion rate reported, with the method and basis disclosed.</w:t>
            </w:r>
          </w:p>
        </w:tc>
      </w:tr>
      <w:tr w:rsidR="00A2611F" w14:paraId="7BFA4553" w14:textId="77777777">
        <w:tc>
          <w:tcPr>
            <w:tcW w:w="2200" w:type="dxa"/>
          </w:tcPr>
          <w:p w14:paraId="17A3A1A5" w14:textId="77777777" w:rsidR="00A2611F" w:rsidRDefault="00000000">
            <w:pPr>
              <w:spacing w:after="40"/>
            </w:pPr>
            <w:r>
              <w:rPr>
                <w:sz w:val="16"/>
                <w:szCs w:val="16"/>
              </w:rPr>
              <w:t>Basket / AOV</w:t>
            </w:r>
          </w:p>
        </w:tc>
        <w:tc>
          <w:tcPr>
            <w:tcW w:w="480" w:type="dxa"/>
          </w:tcPr>
          <w:p w14:paraId="7B7CF833" w14:textId="77777777" w:rsidR="00A2611F" w:rsidRDefault="00000000">
            <w:pPr>
              <w:spacing w:after="40"/>
            </w:pPr>
            <w:r>
              <w:rPr>
                <w:sz w:val="16"/>
                <w:szCs w:val="16"/>
              </w:rPr>
              <w:t>✓</w:t>
            </w:r>
          </w:p>
        </w:tc>
        <w:tc>
          <w:tcPr>
            <w:tcW w:w="480" w:type="dxa"/>
          </w:tcPr>
          <w:p w14:paraId="044AC4C0" w14:textId="77777777" w:rsidR="00A2611F" w:rsidRDefault="00000000">
            <w:pPr>
              <w:spacing w:after="40"/>
            </w:pPr>
            <w:r>
              <w:rPr>
                <w:sz w:val="16"/>
                <w:szCs w:val="16"/>
              </w:rPr>
              <w:t>✓</w:t>
            </w:r>
          </w:p>
        </w:tc>
        <w:tc>
          <w:tcPr>
            <w:tcW w:w="480" w:type="dxa"/>
          </w:tcPr>
          <w:p w14:paraId="436AB5EB" w14:textId="77777777" w:rsidR="00A2611F" w:rsidRDefault="00000000">
            <w:pPr>
              <w:spacing w:after="40"/>
            </w:pPr>
            <w:r>
              <w:rPr>
                <w:sz w:val="16"/>
                <w:szCs w:val="16"/>
              </w:rPr>
              <w:t>✓</w:t>
            </w:r>
          </w:p>
        </w:tc>
        <w:tc>
          <w:tcPr>
            <w:tcW w:w="560" w:type="dxa"/>
          </w:tcPr>
          <w:p w14:paraId="6FD1CCBD" w14:textId="77777777" w:rsidR="00A2611F" w:rsidRDefault="00000000">
            <w:pPr>
              <w:spacing w:after="40"/>
            </w:pPr>
            <w:r>
              <w:rPr>
                <w:sz w:val="16"/>
                <w:szCs w:val="16"/>
              </w:rPr>
              <w:t>POS</w:t>
            </w:r>
          </w:p>
        </w:tc>
        <w:tc>
          <w:tcPr>
            <w:tcW w:w="6600" w:type="dxa"/>
          </w:tcPr>
          <w:p w14:paraId="5EA85CBA" w14:textId="77777777" w:rsidR="00A2611F" w:rsidRDefault="00000000">
            <w:pPr>
              <w:spacing w:after="40"/>
            </w:pPr>
            <w:r>
              <w:rPr>
                <w:sz w:val="16"/>
                <w:szCs w:val="16"/>
              </w:rPr>
              <w:t>AOV for attributed orders reported by campaign and SKU, with attached-item/basket composition where available.</w:t>
            </w:r>
          </w:p>
        </w:tc>
      </w:tr>
      <w:tr w:rsidR="00A2611F" w14:paraId="12DCD128" w14:textId="77777777">
        <w:tc>
          <w:tcPr>
            <w:tcW w:w="2200" w:type="dxa"/>
          </w:tcPr>
          <w:p w14:paraId="4B4287B9" w14:textId="77777777" w:rsidR="00A2611F" w:rsidRDefault="00000000">
            <w:pPr>
              <w:spacing w:after="40"/>
            </w:pPr>
            <w:r>
              <w:rPr>
                <w:sz w:val="16"/>
                <w:szCs w:val="16"/>
              </w:rPr>
              <w:t>Category Share Growth</w:t>
            </w:r>
          </w:p>
        </w:tc>
        <w:tc>
          <w:tcPr>
            <w:tcW w:w="480" w:type="dxa"/>
          </w:tcPr>
          <w:p w14:paraId="525DA6BD" w14:textId="77777777" w:rsidR="00A2611F" w:rsidRDefault="00000000">
            <w:pPr>
              <w:spacing w:after="40"/>
            </w:pPr>
            <w:r>
              <w:rPr>
                <w:sz w:val="16"/>
                <w:szCs w:val="16"/>
              </w:rPr>
              <w:t>✓</w:t>
            </w:r>
          </w:p>
        </w:tc>
        <w:tc>
          <w:tcPr>
            <w:tcW w:w="480" w:type="dxa"/>
          </w:tcPr>
          <w:p w14:paraId="6DD27507" w14:textId="77777777" w:rsidR="00A2611F" w:rsidRDefault="00000000">
            <w:pPr>
              <w:spacing w:after="40"/>
            </w:pPr>
            <w:r>
              <w:rPr>
                <w:sz w:val="16"/>
                <w:szCs w:val="16"/>
              </w:rPr>
              <w:t>✓</w:t>
            </w:r>
          </w:p>
        </w:tc>
        <w:tc>
          <w:tcPr>
            <w:tcW w:w="480" w:type="dxa"/>
          </w:tcPr>
          <w:p w14:paraId="3DE07B9D" w14:textId="77777777" w:rsidR="00A2611F" w:rsidRDefault="00000000">
            <w:pPr>
              <w:spacing w:after="40"/>
            </w:pPr>
            <w:r>
              <w:rPr>
                <w:sz w:val="16"/>
                <w:szCs w:val="16"/>
              </w:rPr>
              <w:t>–</w:t>
            </w:r>
          </w:p>
        </w:tc>
        <w:tc>
          <w:tcPr>
            <w:tcW w:w="560" w:type="dxa"/>
          </w:tcPr>
          <w:p w14:paraId="67F3096E" w14:textId="77777777" w:rsidR="00A2611F" w:rsidRDefault="00000000">
            <w:pPr>
              <w:spacing w:after="40"/>
            </w:pPr>
            <w:r>
              <w:rPr>
                <w:sz w:val="16"/>
                <w:szCs w:val="16"/>
              </w:rPr>
              <w:t>POS</w:t>
            </w:r>
          </w:p>
        </w:tc>
        <w:tc>
          <w:tcPr>
            <w:tcW w:w="6600" w:type="dxa"/>
          </w:tcPr>
          <w:p w14:paraId="71BDA12B" w14:textId="77777777" w:rsidR="00A2611F" w:rsidRDefault="00000000">
            <w:pPr>
              <w:spacing w:after="40"/>
            </w:pPr>
            <w:r>
              <w:rPr>
                <w:sz w:val="16"/>
                <w:szCs w:val="16"/>
              </w:rPr>
              <w:t>Directional before/after category share growth, disclosed as % or bps on an agreed cadence.</w:t>
            </w:r>
          </w:p>
        </w:tc>
      </w:tr>
      <w:tr w:rsidR="00A2611F" w14:paraId="2A647487" w14:textId="77777777">
        <w:tc>
          <w:tcPr>
            <w:tcW w:w="2200" w:type="dxa"/>
          </w:tcPr>
          <w:p w14:paraId="3C50999D" w14:textId="77777777" w:rsidR="00A2611F" w:rsidRDefault="00000000">
            <w:pPr>
              <w:spacing w:after="40"/>
            </w:pPr>
            <w:r>
              <w:rPr>
                <w:sz w:val="16"/>
                <w:szCs w:val="16"/>
              </w:rPr>
              <w:t>New to Brand</w:t>
            </w:r>
          </w:p>
        </w:tc>
        <w:tc>
          <w:tcPr>
            <w:tcW w:w="480" w:type="dxa"/>
          </w:tcPr>
          <w:p w14:paraId="7B21EAB5" w14:textId="77777777" w:rsidR="00A2611F" w:rsidRDefault="00000000">
            <w:pPr>
              <w:spacing w:after="40"/>
            </w:pPr>
            <w:r>
              <w:rPr>
                <w:sz w:val="16"/>
                <w:szCs w:val="16"/>
              </w:rPr>
              <w:t>✓</w:t>
            </w:r>
          </w:p>
        </w:tc>
        <w:tc>
          <w:tcPr>
            <w:tcW w:w="480" w:type="dxa"/>
          </w:tcPr>
          <w:p w14:paraId="5F361751" w14:textId="77777777" w:rsidR="00A2611F" w:rsidRDefault="00000000">
            <w:pPr>
              <w:spacing w:after="40"/>
            </w:pPr>
            <w:r>
              <w:rPr>
                <w:sz w:val="16"/>
                <w:szCs w:val="16"/>
              </w:rPr>
              <w:t>✓</w:t>
            </w:r>
          </w:p>
        </w:tc>
        <w:tc>
          <w:tcPr>
            <w:tcW w:w="480" w:type="dxa"/>
          </w:tcPr>
          <w:p w14:paraId="3929581E" w14:textId="77777777" w:rsidR="00A2611F" w:rsidRDefault="00000000">
            <w:pPr>
              <w:spacing w:after="40"/>
            </w:pPr>
            <w:r>
              <w:rPr>
                <w:sz w:val="16"/>
                <w:szCs w:val="16"/>
              </w:rPr>
              <w:t>✓</w:t>
            </w:r>
          </w:p>
        </w:tc>
        <w:tc>
          <w:tcPr>
            <w:tcW w:w="560" w:type="dxa"/>
          </w:tcPr>
          <w:p w14:paraId="02263AA3" w14:textId="77777777" w:rsidR="00A2611F" w:rsidRDefault="00000000">
            <w:pPr>
              <w:spacing w:after="40"/>
            </w:pPr>
            <w:r>
              <w:rPr>
                <w:sz w:val="16"/>
                <w:szCs w:val="16"/>
              </w:rPr>
              <w:t>POS</w:t>
            </w:r>
          </w:p>
        </w:tc>
        <w:tc>
          <w:tcPr>
            <w:tcW w:w="6600" w:type="dxa"/>
          </w:tcPr>
          <w:p w14:paraId="0FA43A7D" w14:textId="77777777" w:rsidR="00A2611F" w:rsidRDefault="00000000">
            <w:pPr>
              <w:spacing w:after="40"/>
            </w:pPr>
            <w:r>
              <w:rPr>
                <w:sz w:val="16"/>
                <w:szCs w:val="16"/>
              </w:rPr>
              <w:t>% NTB reported with the lookback window disclosed; a shopper's first qualifying transaction in-campaign counts as NTB, the remainder as repeat.</w:t>
            </w:r>
          </w:p>
        </w:tc>
      </w:tr>
      <w:tr w:rsidR="00A2611F" w14:paraId="63DD9F80" w14:textId="77777777">
        <w:tc>
          <w:tcPr>
            <w:tcW w:w="2200" w:type="dxa"/>
          </w:tcPr>
          <w:p w14:paraId="6AD7227A" w14:textId="77777777" w:rsidR="00A2611F" w:rsidRDefault="00000000">
            <w:pPr>
              <w:spacing w:after="40"/>
            </w:pPr>
            <w:r>
              <w:rPr>
                <w:sz w:val="16"/>
                <w:szCs w:val="16"/>
              </w:rPr>
              <w:t>New to Seller</w:t>
            </w:r>
          </w:p>
        </w:tc>
        <w:tc>
          <w:tcPr>
            <w:tcW w:w="480" w:type="dxa"/>
          </w:tcPr>
          <w:p w14:paraId="5A528E71" w14:textId="77777777" w:rsidR="00A2611F" w:rsidRDefault="00000000">
            <w:pPr>
              <w:spacing w:after="40"/>
            </w:pPr>
            <w:r>
              <w:rPr>
                <w:sz w:val="16"/>
                <w:szCs w:val="16"/>
              </w:rPr>
              <w:t>✓</w:t>
            </w:r>
          </w:p>
        </w:tc>
        <w:tc>
          <w:tcPr>
            <w:tcW w:w="480" w:type="dxa"/>
          </w:tcPr>
          <w:p w14:paraId="2C2F6316" w14:textId="77777777" w:rsidR="00A2611F" w:rsidRDefault="00000000">
            <w:pPr>
              <w:spacing w:after="40"/>
            </w:pPr>
            <w:r>
              <w:rPr>
                <w:sz w:val="16"/>
                <w:szCs w:val="16"/>
              </w:rPr>
              <w:t>–</w:t>
            </w:r>
          </w:p>
        </w:tc>
        <w:tc>
          <w:tcPr>
            <w:tcW w:w="480" w:type="dxa"/>
          </w:tcPr>
          <w:p w14:paraId="30F91B42" w14:textId="77777777" w:rsidR="00A2611F" w:rsidRDefault="00000000">
            <w:pPr>
              <w:spacing w:after="40"/>
            </w:pPr>
            <w:r>
              <w:rPr>
                <w:sz w:val="16"/>
                <w:szCs w:val="16"/>
              </w:rPr>
              <w:t>–</w:t>
            </w:r>
          </w:p>
        </w:tc>
        <w:tc>
          <w:tcPr>
            <w:tcW w:w="560" w:type="dxa"/>
          </w:tcPr>
          <w:p w14:paraId="5F978BC4" w14:textId="77777777" w:rsidR="00A2611F" w:rsidRDefault="00000000">
            <w:pPr>
              <w:spacing w:after="40"/>
            </w:pPr>
            <w:r>
              <w:rPr>
                <w:sz w:val="16"/>
                <w:szCs w:val="16"/>
              </w:rPr>
              <w:t>–</w:t>
            </w:r>
          </w:p>
        </w:tc>
        <w:tc>
          <w:tcPr>
            <w:tcW w:w="6600" w:type="dxa"/>
          </w:tcPr>
          <w:p w14:paraId="53D9C168" w14:textId="77777777" w:rsidR="00A2611F" w:rsidRDefault="00000000">
            <w:pPr>
              <w:spacing w:after="40"/>
            </w:pPr>
            <w:r>
              <w:rPr>
                <w:sz w:val="16"/>
                <w:szCs w:val="16"/>
              </w:rPr>
              <w:t>% New to Seller reported where a 3P marketplace operates, window disclosed.</w:t>
            </w:r>
          </w:p>
        </w:tc>
      </w:tr>
      <w:tr w:rsidR="00A2611F" w14:paraId="01B669F7" w14:textId="77777777">
        <w:tc>
          <w:tcPr>
            <w:tcW w:w="2200" w:type="dxa"/>
          </w:tcPr>
          <w:p w14:paraId="483CE0D8" w14:textId="77777777" w:rsidR="00A2611F" w:rsidRDefault="00000000">
            <w:pPr>
              <w:spacing w:after="40"/>
            </w:pPr>
            <w:r>
              <w:rPr>
                <w:sz w:val="16"/>
                <w:szCs w:val="16"/>
              </w:rPr>
              <w:t>New to Category</w:t>
            </w:r>
          </w:p>
        </w:tc>
        <w:tc>
          <w:tcPr>
            <w:tcW w:w="480" w:type="dxa"/>
          </w:tcPr>
          <w:p w14:paraId="628A9529" w14:textId="77777777" w:rsidR="00A2611F" w:rsidRDefault="00000000">
            <w:pPr>
              <w:spacing w:after="40"/>
            </w:pPr>
            <w:r>
              <w:rPr>
                <w:sz w:val="16"/>
                <w:szCs w:val="16"/>
              </w:rPr>
              <w:t>✓</w:t>
            </w:r>
          </w:p>
        </w:tc>
        <w:tc>
          <w:tcPr>
            <w:tcW w:w="480" w:type="dxa"/>
          </w:tcPr>
          <w:p w14:paraId="798925CD" w14:textId="77777777" w:rsidR="00A2611F" w:rsidRDefault="00000000">
            <w:pPr>
              <w:spacing w:after="40"/>
            </w:pPr>
            <w:r>
              <w:rPr>
                <w:sz w:val="16"/>
                <w:szCs w:val="16"/>
              </w:rPr>
              <w:t>✓</w:t>
            </w:r>
          </w:p>
        </w:tc>
        <w:tc>
          <w:tcPr>
            <w:tcW w:w="480" w:type="dxa"/>
          </w:tcPr>
          <w:p w14:paraId="1D7C167F" w14:textId="77777777" w:rsidR="00A2611F" w:rsidRDefault="00000000">
            <w:pPr>
              <w:spacing w:after="40"/>
            </w:pPr>
            <w:r>
              <w:rPr>
                <w:sz w:val="16"/>
                <w:szCs w:val="16"/>
              </w:rPr>
              <w:t>✓</w:t>
            </w:r>
          </w:p>
        </w:tc>
        <w:tc>
          <w:tcPr>
            <w:tcW w:w="560" w:type="dxa"/>
          </w:tcPr>
          <w:p w14:paraId="3C77C4B4" w14:textId="77777777" w:rsidR="00A2611F" w:rsidRDefault="00000000">
            <w:pPr>
              <w:spacing w:after="40"/>
            </w:pPr>
            <w:r>
              <w:rPr>
                <w:sz w:val="16"/>
                <w:szCs w:val="16"/>
              </w:rPr>
              <w:t>POS</w:t>
            </w:r>
          </w:p>
        </w:tc>
        <w:tc>
          <w:tcPr>
            <w:tcW w:w="6600" w:type="dxa"/>
          </w:tcPr>
          <w:p w14:paraId="59C1FA91" w14:textId="77777777" w:rsidR="00A2611F" w:rsidRDefault="00000000">
            <w:pPr>
              <w:spacing w:after="40"/>
            </w:pPr>
            <w:r>
              <w:rPr>
                <w:sz w:val="16"/>
                <w:szCs w:val="16"/>
              </w:rPr>
              <w:t>% NTC with window and purchase-cycle tier disclosed.</w:t>
            </w:r>
          </w:p>
        </w:tc>
      </w:tr>
      <w:tr w:rsidR="00A2611F" w14:paraId="1D3CAAFB" w14:textId="77777777">
        <w:tc>
          <w:tcPr>
            <w:tcW w:w="2200" w:type="dxa"/>
          </w:tcPr>
          <w:p w14:paraId="4E0BE1AD" w14:textId="77777777" w:rsidR="00A2611F" w:rsidRDefault="00000000">
            <w:pPr>
              <w:spacing w:after="40"/>
            </w:pPr>
            <w:r>
              <w:rPr>
                <w:sz w:val="16"/>
                <w:szCs w:val="16"/>
              </w:rPr>
              <w:t>Repeat / Loyal</w:t>
            </w:r>
          </w:p>
        </w:tc>
        <w:tc>
          <w:tcPr>
            <w:tcW w:w="480" w:type="dxa"/>
          </w:tcPr>
          <w:p w14:paraId="38DD857D" w14:textId="77777777" w:rsidR="00A2611F" w:rsidRDefault="00000000">
            <w:pPr>
              <w:spacing w:after="40"/>
            </w:pPr>
            <w:r>
              <w:rPr>
                <w:sz w:val="16"/>
                <w:szCs w:val="16"/>
              </w:rPr>
              <w:t>✓</w:t>
            </w:r>
          </w:p>
        </w:tc>
        <w:tc>
          <w:tcPr>
            <w:tcW w:w="480" w:type="dxa"/>
          </w:tcPr>
          <w:p w14:paraId="2556DC83" w14:textId="77777777" w:rsidR="00A2611F" w:rsidRDefault="00000000">
            <w:pPr>
              <w:spacing w:after="40"/>
            </w:pPr>
            <w:r>
              <w:rPr>
                <w:sz w:val="16"/>
                <w:szCs w:val="16"/>
              </w:rPr>
              <w:t>✓</w:t>
            </w:r>
          </w:p>
        </w:tc>
        <w:tc>
          <w:tcPr>
            <w:tcW w:w="480" w:type="dxa"/>
          </w:tcPr>
          <w:p w14:paraId="105647BD" w14:textId="77777777" w:rsidR="00A2611F" w:rsidRDefault="00000000">
            <w:pPr>
              <w:spacing w:after="40"/>
            </w:pPr>
            <w:r>
              <w:rPr>
                <w:sz w:val="16"/>
                <w:szCs w:val="16"/>
              </w:rPr>
              <w:t>✓</w:t>
            </w:r>
          </w:p>
        </w:tc>
        <w:tc>
          <w:tcPr>
            <w:tcW w:w="560" w:type="dxa"/>
          </w:tcPr>
          <w:p w14:paraId="590ACF56" w14:textId="77777777" w:rsidR="00A2611F" w:rsidRDefault="00000000">
            <w:pPr>
              <w:spacing w:after="40"/>
            </w:pPr>
            <w:r>
              <w:rPr>
                <w:sz w:val="16"/>
                <w:szCs w:val="16"/>
              </w:rPr>
              <w:t>POS</w:t>
            </w:r>
          </w:p>
        </w:tc>
        <w:tc>
          <w:tcPr>
            <w:tcW w:w="6600" w:type="dxa"/>
          </w:tcPr>
          <w:p w14:paraId="0EC1007E" w14:textId="77777777" w:rsidR="00A2611F" w:rsidRDefault="00000000">
            <w:pPr>
              <w:spacing w:after="40"/>
            </w:pPr>
            <w:r>
              <w:rPr>
                <w:sz w:val="16"/>
                <w:szCs w:val="16"/>
              </w:rPr>
              <w:t>Repeat rate reported with the window disclosed, split by brand and category.</w:t>
            </w:r>
          </w:p>
        </w:tc>
      </w:tr>
      <w:tr w:rsidR="00A2611F" w14:paraId="47FF793F" w14:textId="77777777">
        <w:tc>
          <w:tcPr>
            <w:tcW w:w="2200" w:type="dxa"/>
          </w:tcPr>
          <w:p w14:paraId="3B78246B" w14:textId="77777777" w:rsidR="00A2611F" w:rsidRDefault="00000000">
            <w:pPr>
              <w:spacing w:after="40"/>
            </w:pPr>
            <w:r>
              <w:rPr>
                <w:sz w:val="16"/>
                <w:szCs w:val="16"/>
              </w:rPr>
              <w:t>Purchase Frequency</w:t>
            </w:r>
          </w:p>
        </w:tc>
        <w:tc>
          <w:tcPr>
            <w:tcW w:w="480" w:type="dxa"/>
          </w:tcPr>
          <w:p w14:paraId="0B19F06B" w14:textId="77777777" w:rsidR="00A2611F" w:rsidRDefault="00000000">
            <w:pPr>
              <w:spacing w:after="40"/>
            </w:pPr>
            <w:r>
              <w:rPr>
                <w:sz w:val="16"/>
                <w:szCs w:val="16"/>
              </w:rPr>
              <w:t>✓</w:t>
            </w:r>
          </w:p>
        </w:tc>
        <w:tc>
          <w:tcPr>
            <w:tcW w:w="480" w:type="dxa"/>
          </w:tcPr>
          <w:p w14:paraId="7D2900A6" w14:textId="77777777" w:rsidR="00A2611F" w:rsidRDefault="00000000">
            <w:pPr>
              <w:spacing w:after="40"/>
            </w:pPr>
            <w:r>
              <w:rPr>
                <w:sz w:val="16"/>
                <w:szCs w:val="16"/>
              </w:rPr>
              <w:t>–</w:t>
            </w:r>
          </w:p>
        </w:tc>
        <w:tc>
          <w:tcPr>
            <w:tcW w:w="480" w:type="dxa"/>
          </w:tcPr>
          <w:p w14:paraId="290AE0F5" w14:textId="77777777" w:rsidR="00A2611F" w:rsidRDefault="00000000">
            <w:pPr>
              <w:spacing w:after="40"/>
            </w:pPr>
            <w:r>
              <w:rPr>
                <w:sz w:val="16"/>
                <w:szCs w:val="16"/>
              </w:rPr>
              <w:t>✓</w:t>
            </w:r>
          </w:p>
        </w:tc>
        <w:tc>
          <w:tcPr>
            <w:tcW w:w="560" w:type="dxa"/>
          </w:tcPr>
          <w:p w14:paraId="2164EC33" w14:textId="77777777" w:rsidR="00A2611F" w:rsidRDefault="00000000">
            <w:pPr>
              <w:spacing w:after="40"/>
            </w:pPr>
            <w:r>
              <w:rPr>
                <w:sz w:val="16"/>
                <w:szCs w:val="16"/>
              </w:rPr>
              <w:t>POS</w:t>
            </w:r>
          </w:p>
        </w:tc>
        <w:tc>
          <w:tcPr>
            <w:tcW w:w="6600" w:type="dxa"/>
          </w:tcPr>
          <w:p w14:paraId="37C62829" w14:textId="77777777" w:rsidR="00A2611F" w:rsidRDefault="00000000">
            <w:pPr>
              <w:spacing w:after="40"/>
            </w:pPr>
            <w:r>
              <w:rPr>
                <w:sz w:val="16"/>
                <w:szCs w:val="16"/>
              </w:rPr>
              <w:t>Purchase frequency reported by segment, with the window disclosed.</w:t>
            </w:r>
          </w:p>
        </w:tc>
      </w:tr>
      <w:tr w:rsidR="00A2611F" w14:paraId="4F74A8AB" w14:textId="77777777">
        <w:tc>
          <w:tcPr>
            <w:tcW w:w="2200" w:type="dxa"/>
          </w:tcPr>
          <w:p w14:paraId="2EDB4340" w14:textId="77777777" w:rsidR="00A2611F" w:rsidRDefault="00000000">
            <w:pPr>
              <w:spacing w:after="40"/>
            </w:pPr>
            <w:r>
              <w:rPr>
                <w:sz w:val="16"/>
                <w:szCs w:val="16"/>
              </w:rPr>
              <w:t>Upsell / Cross-Sell</w:t>
            </w:r>
          </w:p>
        </w:tc>
        <w:tc>
          <w:tcPr>
            <w:tcW w:w="480" w:type="dxa"/>
          </w:tcPr>
          <w:p w14:paraId="2CAFAE2A" w14:textId="77777777" w:rsidR="00A2611F" w:rsidRDefault="00000000">
            <w:pPr>
              <w:spacing w:after="40"/>
            </w:pPr>
            <w:r>
              <w:rPr>
                <w:sz w:val="16"/>
                <w:szCs w:val="16"/>
              </w:rPr>
              <w:t>✓</w:t>
            </w:r>
          </w:p>
        </w:tc>
        <w:tc>
          <w:tcPr>
            <w:tcW w:w="480" w:type="dxa"/>
          </w:tcPr>
          <w:p w14:paraId="6AB958C6" w14:textId="77777777" w:rsidR="00A2611F" w:rsidRDefault="00000000">
            <w:pPr>
              <w:spacing w:after="40"/>
            </w:pPr>
            <w:r>
              <w:rPr>
                <w:sz w:val="16"/>
                <w:szCs w:val="16"/>
              </w:rPr>
              <w:t>✓</w:t>
            </w:r>
          </w:p>
        </w:tc>
        <w:tc>
          <w:tcPr>
            <w:tcW w:w="480" w:type="dxa"/>
          </w:tcPr>
          <w:p w14:paraId="638F83C3" w14:textId="77777777" w:rsidR="00A2611F" w:rsidRDefault="00000000">
            <w:pPr>
              <w:spacing w:after="40"/>
            </w:pPr>
            <w:r>
              <w:rPr>
                <w:sz w:val="16"/>
                <w:szCs w:val="16"/>
              </w:rPr>
              <w:t>✓</w:t>
            </w:r>
          </w:p>
        </w:tc>
        <w:tc>
          <w:tcPr>
            <w:tcW w:w="560" w:type="dxa"/>
          </w:tcPr>
          <w:p w14:paraId="13BEB5E5" w14:textId="77777777" w:rsidR="00A2611F" w:rsidRDefault="00000000">
            <w:pPr>
              <w:spacing w:after="40"/>
            </w:pPr>
            <w:r>
              <w:rPr>
                <w:sz w:val="16"/>
                <w:szCs w:val="16"/>
              </w:rPr>
              <w:t>POS</w:t>
            </w:r>
          </w:p>
        </w:tc>
        <w:tc>
          <w:tcPr>
            <w:tcW w:w="6600" w:type="dxa"/>
          </w:tcPr>
          <w:p w14:paraId="1654D4CE" w14:textId="77777777" w:rsidR="00A2611F" w:rsidRDefault="00000000">
            <w:pPr>
              <w:spacing w:after="40"/>
            </w:pPr>
            <w:r>
              <w:rPr>
                <w:sz w:val="16"/>
                <w:szCs w:val="16"/>
              </w:rPr>
              <w:t>Reported where it is a stated campaign objective, with the price-point/product logic disclosed, including cross-category pairs.</w:t>
            </w:r>
          </w:p>
        </w:tc>
      </w:tr>
      <w:tr w:rsidR="00A2611F" w14:paraId="26E3B021" w14:textId="77777777">
        <w:tc>
          <w:tcPr>
            <w:tcW w:w="2200" w:type="dxa"/>
          </w:tcPr>
          <w:p w14:paraId="49778D0D" w14:textId="77777777" w:rsidR="00A2611F" w:rsidRDefault="00000000">
            <w:pPr>
              <w:spacing w:after="40"/>
            </w:pPr>
            <w:r>
              <w:rPr>
                <w:sz w:val="16"/>
                <w:szCs w:val="16"/>
              </w:rPr>
              <w:t>Shopper Intelligence Summary</w:t>
            </w:r>
          </w:p>
        </w:tc>
        <w:tc>
          <w:tcPr>
            <w:tcW w:w="480" w:type="dxa"/>
          </w:tcPr>
          <w:p w14:paraId="0A6AF8E7" w14:textId="77777777" w:rsidR="00A2611F" w:rsidRDefault="00000000">
            <w:pPr>
              <w:spacing w:after="40"/>
            </w:pPr>
            <w:r>
              <w:rPr>
                <w:sz w:val="16"/>
                <w:szCs w:val="16"/>
              </w:rPr>
              <w:t>✓</w:t>
            </w:r>
          </w:p>
        </w:tc>
        <w:tc>
          <w:tcPr>
            <w:tcW w:w="480" w:type="dxa"/>
          </w:tcPr>
          <w:p w14:paraId="44DB6CD7" w14:textId="77777777" w:rsidR="00A2611F" w:rsidRDefault="00000000">
            <w:pPr>
              <w:spacing w:after="40"/>
            </w:pPr>
            <w:r>
              <w:rPr>
                <w:sz w:val="16"/>
                <w:szCs w:val="16"/>
              </w:rPr>
              <w:t>✓</w:t>
            </w:r>
          </w:p>
        </w:tc>
        <w:tc>
          <w:tcPr>
            <w:tcW w:w="480" w:type="dxa"/>
          </w:tcPr>
          <w:p w14:paraId="30EB536A" w14:textId="77777777" w:rsidR="00A2611F" w:rsidRDefault="00000000">
            <w:pPr>
              <w:spacing w:after="40"/>
            </w:pPr>
            <w:r>
              <w:rPr>
                <w:sz w:val="16"/>
                <w:szCs w:val="16"/>
              </w:rPr>
              <w:t>✓</w:t>
            </w:r>
          </w:p>
        </w:tc>
        <w:tc>
          <w:tcPr>
            <w:tcW w:w="560" w:type="dxa"/>
          </w:tcPr>
          <w:p w14:paraId="4EEBE525" w14:textId="77777777" w:rsidR="00A2611F" w:rsidRDefault="00000000">
            <w:pPr>
              <w:spacing w:after="40"/>
            </w:pPr>
            <w:r>
              <w:rPr>
                <w:sz w:val="16"/>
                <w:szCs w:val="16"/>
              </w:rPr>
              <w:t>POS</w:t>
            </w:r>
          </w:p>
        </w:tc>
        <w:tc>
          <w:tcPr>
            <w:tcW w:w="6600" w:type="dxa"/>
          </w:tcPr>
          <w:p w14:paraId="4AC29BE6" w14:textId="77777777" w:rsidR="00A2611F" w:rsidRDefault="00000000">
            <w:pPr>
              <w:spacing w:after="40"/>
            </w:pPr>
            <w:r>
              <w:rPr>
                <w:sz w:val="16"/>
                <w:szCs w:val="16"/>
              </w:rPr>
              <w:t>Post-campaign descriptive summary provided, with segment-level insight tied to the campaign's target audience and benchmarked against category norms.</w:t>
            </w:r>
          </w:p>
        </w:tc>
      </w:tr>
      <w:tr w:rsidR="00A2611F" w14:paraId="3B775A8B" w14:textId="77777777">
        <w:tc>
          <w:tcPr>
            <w:tcW w:w="2200" w:type="dxa"/>
          </w:tcPr>
          <w:p w14:paraId="07E8B935" w14:textId="77777777" w:rsidR="00A2611F" w:rsidRDefault="00000000">
            <w:pPr>
              <w:spacing w:after="40"/>
            </w:pPr>
            <w:r>
              <w:rPr>
                <w:sz w:val="16"/>
                <w:szCs w:val="16"/>
              </w:rPr>
              <w:t>Unique Reach</w:t>
            </w:r>
          </w:p>
        </w:tc>
        <w:tc>
          <w:tcPr>
            <w:tcW w:w="480" w:type="dxa"/>
          </w:tcPr>
          <w:p w14:paraId="0615EA38" w14:textId="77777777" w:rsidR="00A2611F" w:rsidRDefault="00000000">
            <w:pPr>
              <w:spacing w:after="40"/>
            </w:pPr>
            <w:r>
              <w:rPr>
                <w:sz w:val="16"/>
                <w:szCs w:val="16"/>
              </w:rPr>
              <w:t>✓</w:t>
            </w:r>
          </w:p>
        </w:tc>
        <w:tc>
          <w:tcPr>
            <w:tcW w:w="480" w:type="dxa"/>
          </w:tcPr>
          <w:p w14:paraId="11C71028" w14:textId="77777777" w:rsidR="00A2611F" w:rsidRDefault="00000000">
            <w:pPr>
              <w:spacing w:after="40"/>
            </w:pPr>
            <w:r>
              <w:rPr>
                <w:sz w:val="16"/>
                <w:szCs w:val="16"/>
              </w:rPr>
              <w:t>✓</w:t>
            </w:r>
          </w:p>
        </w:tc>
        <w:tc>
          <w:tcPr>
            <w:tcW w:w="480" w:type="dxa"/>
          </w:tcPr>
          <w:p w14:paraId="1CC38FA5" w14:textId="77777777" w:rsidR="00A2611F" w:rsidRDefault="00000000">
            <w:pPr>
              <w:spacing w:after="40"/>
            </w:pPr>
            <w:r>
              <w:rPr>
                <w:sz w:val="16"/>
                <w:szCs w:val="16"/>
              </w:rPr>
              <w:t>✓</w:t>
            </w:r>
          </w:p>
        </w:tc>
        <w:tc>
          <w:tcPr>
            <w:tcW w:w="560" w:type="dxa"/>
          </w:tcPr>
          <w:p w14:paraId="156A80DD" w14:textId="77777777" w:rsidR="00A2611F" w:rsidRDefault="00000000">
            <w:pPr>
              <w:spacing w:after="40"/>
            </w:pPr>
            <w:r>
              <w:rPr>
                <w:sz w:val="16"/>
                <w:szCs w:val="16"/>
              </w:rPr>
              <w:t>OTS</w:t>
            </w:r>
          </w:p>
        </w:tc>
        <w:tc>
          <w:tcPr>
            <w:tcW w:w="6600" w:type="dxa"/>
          </w:tcPr>
          <w:p w14:paraId="31DE628C" w14:textId="77777777" w:rsidR="00A2611F" w:rsidRDefault="00000000">
            <w:pPr>
              <w:spacing w:after="40"/>
            </w:pPr>
            <w:r>
              <w:rPr>
                <w:sz w:val="16"/>
                <w:szCs w:val="16"/>
              </w:rPr>
              <w:t>Unique reach reported per environment, deduplicated within environment.</w:t>
            </w:r>
          </w:p>
        </w:tc>
      </w:tr>
      <w:tr w:rsidR="00A2611F" w14:paraId="17799E8F" w14:textId="77777777">
        <w:tc>
          <w:tcPr>
            <w:tcW w:w="2200" w:type="dxa"/>
          </w:tcPr>
          <w:p w14:paraId="6CD95D7C" w14:textId="77777777" w:rsidR="00A2611F" w:rsidRDefault="00000000">
            <w:pPr>
              <w:spacing w:after="40"/>
            </w:pPr>
            <w:r>
              <w:rPr>
                <w:sz w:val="16"/>
                <w:szCs w:val="16"/>
              </w:rPr>
              <w:t>Segment Size</w:t>
            </w:r>
          </w:p>
        </w:tc>
        <w:tc>
          <w:tcPr>
            <w:tcW w:w="480" w:type="dxa"/>
          </w:tcPr>
          <w:p w14:paraId="69E459D4" w14:textId="77777777" w:rsidR="00A2611F" w:rsidRDefault="00000000">
            <w:pPr>
              <w:spacing w:after="40"/>
            </w:pPr>
            <w:r>
              <w:rPr>
                <w:sz w:val="16"/>
                <w:szCs w:val="16"/>
              </w:rPr>
              <w:t>✓</w:t>
            </w:r>
          </w:p>
        </w:tc>
        <w:tc>
          <w:tcPr>
            <w:tcW w:w="480" w:type="dxa"/>
          </w:tcPr>
          <w:p w14:paraId="7856F68D" w14:textId="77777777" w:rsidR="00A2611F" w:rsidRDefault="00000000">
            <w:pPr>
              <w:spacing w:after="40"/>
            </w:pPr>
            <w:r>
              <w:rPr>
                <w:sz w:val="16"/>
                <w:szCs w:val="16"/>
              </w:rPr>
              <w:t>✓</w:t>
            </w:r>
          </w:p>
        </w:tc>
        <w:tc>
          <w:tcPr>
            <w:tcW w:w="480" w:type="dxa"/>
          </w:tcPr>
          <w:p w14:paraId="3B3D6593" w14:textId="77777777" w:rsidR="00A2611F" w:rsidRDefault="00000000">
            <w:pPr>
              <w:spacing w:after="40"/>
            </w:pPr>
            <w:r>
              <w:rPr>
                <w:sz w:val="16"/>
                <w:szCs w:val="16"/>
              </w:rPr>
              <w:t>✓</w:t>
            </w:r>
          </w:p>
        </w:tc>
        <w:tc>
          <w:tcPr>
            <w:tcW w:w="560" w:type="dxa"/>
          </w:tcPr>
          <w:p w14:paraId="3D6E970A" w14:textId="77777777" w:rsidR="00A2611F" w:rsidRDefault="00000000">
            <w:pPr>
              <w:spacing w:after="40"/>
            </w:pPr>
            <w:r>
              <w:rPr>
                <w:sz w:val="16"/>
                <w:szCs w:val="16"/>
              </w:rPr>
              <w:t>–</w:t>
            </w:r>
          </w:p>
        </w:tc>
        <w:tc>
          <w:tcPr>
            <w:tcW w:w="6600" w:type="dxa"/>
          </w:tcPr>
          <w:p w14:paraId="56A51DEB" w14:textId="77777777" w:rsidR="00A2611F" w:rsidRDefault="00000000">
            <w:pPr>
              <w:spacing w:after="40"/>
            </w:pPr>
            <w:r>
              <w:rPr>
                <w:sz w:val="16"/>
                <w:szCs w:val="16"/>
              </w:rPr>
              <w:t>Segment size at activation reported by segment type (loyalty / behavioural / demo).</w:t>
            </w:r>
          </w:p>
        </w:tc>
      </w:tr>
      <w:tr w:rsidR="00A2611F" w14:paraId="100DAB61" w14:textId="77777777">
        <w:tc>
          <w:tcPr>
            <w:tcW w:w="2200" w:type="dxa"/>
          </w:tcPr>
          <w:p w14:paraId="2FC493CA" w14:textId="77777777" w:rsidR="00A2611F" w:rsidRDefault="00000000">
            <w:pPr>
              <w:spacing w:after="40"/>
            </w:pPr>
            <w:r>
              <w:rPr>
                <w:sz w:val="16"/>
                <w:szCs w:val="16"/>
              </w:rPr>
              <w:t>Demo / Geo Breakdown</w:t>
            </w:r>
          </w:p>
        </w:tc>
        <w:tc>
          <w:tcPr>
            <w:tcW w:w="480" w:type="dxa"/>
          </w:tcPr>
          <w:p w14:paraId="23667CEF" w14:textId="77777777" w:rsidR="00A2611F" w:rsidRDefault="00000000">
            <w:pPr>
              <w:spacing w:after="40"/>
            </w:pPr>
            <w:r>
              <w:rPr>
                <w:sz w:val="16"/>
                <w:szCs w:val="16"/>
              </w:rPr>
              <w:t>✓</w:t>
            </w:r>
          </w:p>
        </w:tc>
        <w:tc>
          <w:tcPr>
            <w:tcW w:w="480" w:type="dxa"/>
          </w:tcPr>
          <w:p w14:paraId="2DD39A6B" w14:textId="77777777" w:rsidR="00A2611F" w:rsidRDefault="00000000">
            <w:pPr>
              <w:spacing w:after="40"/>
            </w:pPr>
            <w:r>
              <w:rPr>
                <w:sz w:val="16"/>
                <w:szCs w:val="16"/>
              </w:rPr>
              <w:t>✓</w:t>
            </w:r>
          </w:p>
        </w:tc>
        <w:tc>
          <w:tcPr>
            <w:tcW w:w="480" w:type="dxa"/>
          </w:tcPr>
          <w:p w14:paraId="29D7BA30" w14:textId="77777777" w:rsidR="00A2611F" w:rsidRDefault="00000000">
            <w:pPr>
              <w:spacing w:after="40"/>
            </w:pPr>
            <w:r>
              <w:rPr>
                <w:sz w:val="16"/>
                <w:szCs w:val="16"/>
              </w:rPr>
              <w:t>✓</w:t>
            </w:r>
          </w:p>
        </w:tc>
        <w:tc>
          <w:tcPr>
            <w:tcW w:w="560" w:type="dxa"/>
          </w:tcPr>
          <w:p w14:paraId="540E8992" w14:textId="77777777" w:rsidR="00A2611F" w:rsidRDefault="00000000">
            <w:pPr>
              <w:spacing w:after="40"/>
            </w:pPr>
            <w:r>
              <w:rPr>
                <w:sz w:val="16"/>
                <w:szCs w:val="16"/>
              </w:rPr>
              <w:t>Zone</w:t>
            </w:r>
          </w:p>
        </w:tc>
        <w:tc>
          <w:tcPr>
            <w:tcW w:w="6600" w:type="dxa"/>
          </w:tcPr>
          <w:p w14:paraId="4CC0807A" w14:textId="77777777" w:rsidR="00A2611F" w:rsidRDefault="00000000">
            <w:pPr>
              <w:spacing w:after="40"/>
            </w:pPr>
            <w:r>
              <w:rPr>
                <w:sz w:val="16"/>
                <w:szCs w:val="16"/>
              </w:rPr>
              <w:t>Reported where available, with disclosed source and standardised dimensions.</w:t>
            </w:r>
          </w:p>
        </w:tc>
      </w:tr>
      <w:tr w:rsidR="00A2611F" w14:paraId="72AE0B17" w14:textId="77777777">
        <w:tc>
          <w:tcPr>
            <w:tcW w:w="2200" w:type="dxa"/>
          </w:tcPr>
          <w:p w14:paraId="777460A8" w14:textId="77777777" w:rsidR="00A2611F" w:rsidRDefault="00000000">
            <w:pPr>
              <w:spacing w:after="40"/>
            </w:pPr>
            <w:r>
              <w:rPr>
                <w:sz w:val="16"/>
                <w:szCs w:val="16"/>
              </w:rPr>
              <w:t>Loyalty Penetration</w:t>
            </w:r>
          </w:p>
        </w:tc>
        <w:tc>
          <w:tcPr>
            <w:tcW w:w="480" w:type="dxa"/>
          </w:tcPr>
          <w:p w14:paraId="46AD049E" w14:textId="77777777" w:rsidR="00A2611F" w:rsidRDefault="00000000">
            <w:pPr>
              <w:spacing w:after="40"/>
            </w:pPr>
            <w:r>
              <w:rPr>
                <w:sz w:val="16"/>
                <w:szCs w:val="16"/>
              </w:rPr>
              <w:t>✓</w:t>
            </w:r>
          </w:p>
        </w:tc>
        <w:tc>
          <w:tcPr>
            <w:tcW w:w="480" w:type="dxa"/>
          </w:tcPr>
          <w:p w14:paraId="7696F757" w14:textId="77777777" w:rsidR="00A2611F" w:rsidRDefault="00000000">
            <w:pPr>
              <w:spacing w:after="40"/>
            </w:pPr>
            <w:r>
              <w:rPr>
                <w:sz w:val="16"/>
                <w:szCs w:val="16"/>
              </w:rPr>
              <w:t>–</w:t>
            </w:r>
          </w:p>
        </w:tc>
        <w:tc>
          <w:tcPr>
            <w:tcW w:w="480" w:type="dxa"/>
          </w:tcPr>
          <w:p w14:paraId="189BAB8F" w14:textId="77777777" w:rsidR="00A2611F" w:rsidRDefault="00000000">
            <w:pPr>
              <w:spacing w:after="40"/>
            </w:pPr>
            <w:r>
              <w:rPr>
                <w:sz w:val="16"/>
                <w:szCs w:val="16"/>
              </w:rPr>
              <w:t>✓</w:t>
            </w:r>
          </w:p>
        </w:tc>
        <w:tc>
          <w:tcPr>
            <w:tcW w:w="560" w:type="dxa"/>
          </w:tcPr>
          <w:p w14:paraId="2711569B" w14:textId="77777777" w:rsidR="00A2611F" w:rsidRDefault="00000000">
            <w:pPr>
              <w:spacing w:after="40"/>
            </w:pPr>
            <w:r>
              <w:rPr>
                <w:sz w:val="16"/>
                <w:szCs w:val="16"/>
              </w:rPr>
              <w:t>POS</w:t>
            </w:r>
          </w:p>
        </w:tc>
        <w:tc>
          <w:tcPr>
            <w:tcW w:w="6600" w:type="dxa"/>
          </w:tcPr>
          <w:p w14:paraId="5F3440FD" w14:textId="77777777" w:rsidR="00A2611F" w:rsidRDefault="00000000">
            <w:pPr>
              <w:spacing w:after="40"/>
            </w:pPr>
            <w:r>
              <w:rPr>
                <w:sz w:val="16"/>
                <w:szCs w:val="16"/>
              </w:rPr>
              <w:t>Loyalty linkage rate reported by channel and store format, with the calculation basis stated.</w:t>
            </w:r>
          </w:p>
        </w:tc>
      </w:tr>
      <w:tr w:rsidR="00A2611F" w14:paraId="515EEE9F" w14:textId="77777777">
        <w:tc>
          <w:tcPr>
            <w:tcW w:w="2200" w:type="dxa"/>
          </w:tcPr>
          <w:p w14:paraId="19EC61C0" w14:textId="77777777" w:rsidR="00A2611F" w:rsidRDefault="00000000">
            <w:pPr>
              <w:spacing w:after="40"/>
            </w:pPr>
            <w:r>
              <w:rPr>
                <w:sz w:val="16"/>
                <w:szCs w:val="16"/>
              </w:rPr>
              <w:t>Audience Match Rate</w:t>
            </w:r>
          </w:p>
        </w:tc>
        <w:tc>
          <w:tcPr>
            <w:tcW w:w="480" w:type="dxa"/>
          </w:tcPr>
          <w:p w14:paraId="1C6EC7E9" w14:textId="77777777" w:rsidR="00A2611F" w:rsidRDefault="00000000">
            <w:pPr>
              <w:spacing w:after="40"/>
            </w:pPr>
            <w:r>
              <w:rPr>
                <w:sz w:val="16"/>
                <w:szCs w:val="16"/>
              </w:rPr>
              <w:t>–</w:t>
            </w:r>
          </w:p>
        </w:tc>
        <w:tc>
          <w:tcPr>
            <w:tcW w:w="480" w:type="dxa"/>
          </w:tcPr>
          <w:p w14:paraId="60F80238" w14:textId="77777777" w:rsidR="00A2611F" w:rsidRDefault="00000000">
            <w:pPr>
              <w:spacing w:after="40"/>
            </w:pPr>
            <w:r>
              <w:rPr>
                <w:sz w:val="16"/>
                <w:szCs w:val="16"/>
              </w:rPr>
              <w:t>✓</w:t>
            </w:r>
          </w:p>
        </w:tc>
        <w:tc>
          <w:tcPr>
            <w:tcW w:w="480" w:type="dxa"/>
          </w:tcPr>
          <w:p w14:paraId="257A109D" w14:textId="77777777" w:rsidR="00A2611F" w:rsidRDefault="00000000">
            <w:pPr>
              <w:spacing w:after="40"/>
            </w:pPr>
            <w:r>
              <w:rPr>
                <w:sz w:val="16"/>
                <w:szCs w:val="16"/>
              </w:rPr>
              <w:t>✓</w:t>
            </w:r>
          </w:p>
        </w:tc>
        <w:tc>
          <w:tcPr>
            <w:tcW w:w="560" w:type="dxa"/>
          </w:tcPr>
          <w:p w14:paraId="56DC0A96" w14:textId="77777777" w:rsidR="00A2611F" w:rsidRDefault="00000000">
            <w:pPr>
              <w:spacing w:after="40"/>
            </w:pPr>
            <w:r>
              <w:rPr>
                <w:sz w:val="16"/>
                <w:szCs w:val="16"/>
              </w:rPr>
              <w:t>–</w:t>
            </w:r>
          </w:p>
        </w:tc>
        <w:tc>
          <w:tcPr>
            <w:tcW w:w="6600" w:type="dxa"/>
          </w:tcPr>
          <w:p w14:paraId="528EF522" w14:textId="77777777" w:rsidR="00A2611F" w:rsidRDefault="00000000">
            <w:pPr>
              <w:spacing w:after="40"/>
            </w:pPr>
            <w:r>
              <w:rPr>
                <w:sz w:val="16"/>
                <w:szCs w:val="16"/>
              </w:rPr>
              <w:t>Match rate disclosed for off-site activation, by partner.</w:t>
            </w:r>
          </w:p>
        </w:tc>
      </w:tr>
      <w:tr w:rsidR="00A2611F" w14:paraId="65D65B51" w14:textId="77777777">
        <w:tc>
          <w:tcPr>
            <w:tcW w:w="2200" w:type="dxa"/>
          </w:tcPr>
          <w:p w14:paraId="41F5185D" w14:textId="77777777" w:rsidR="00A2611F" w:rsidRDefault="00000000">
            <w:pPr>
              <w:spacing w:after="40"/>
            </w:pPr>
            <w:r>
              <w:rPr>
                <w:sz w:val="16"/>
                <w:szCs w:val="16"/>
              </w:rPr>
              <w:t>Cross-Channel Attribution</w:t>
            </w:r>
          </w:p>
        </w:tc>
        <w:tc>
          <w:tcPr>
            <w:tcW w:w="480" w:type="dxa"/>
          </w:tcPr>
          <w:p w14:paraId="72B47003" w14:textId="77777777" w:rsidR="00A2611F" w:rsidRDefault="00000000">
            <w:pPr>
              <w:spacing w:after="40"/>
            </w:pPr>
            <w:r>
              <w:rPr>
                <w:sz w:val="16"/>
                <w:szCs w:val="16"/>
              </w:rPr>
              <w:t>✓</w:t>
            </w:r>
          </w:p>
        </w:tc>
        <w:tc>
          <w:tcPr>
            <w:tcW w:w="480" w:type="dxa"/>
          </w:tcPr>
          <w:p w14:paraId="0F3A2731" w14:textId="77777777" w:rsidR="00A2611F" w:rsidRDefault="00000000">
            <w:pPr>
              <w:spacing w:after="40"/>
            </w:pPr>
            <w:r>
              <w:rPr>
                <w:sz w:val="16"/>
                <w:szCs w:val="16"/>
              </w:rPr>
              <w:t>✓</w:t>
            </w:r>
          </w:p>
        </w:tc>
        <w:tc>
          <w:tcPr>
            <w:tcW w:w="480" w:type="dxa"/>
          </w:tcPr>
          <w:p w14:paraId="44FE3F45" w14:textId="77777777" w:rsidR="00A2611F" w:rsidRDefault="00000000">
            <w:pPr>
              <w:spacing w:after="40"/>
            </w:pPr>
            <w:r>
              <w:rPr>
                <w:sz w:val="16"/>
                <w:szCs w:val="16"/>
              </w:rPr>
              <w:t>✓</w:t>
            </w:r>
          </w:p>
        </w:tc>
        <w:tc>
          <w:tcPr>
            <w:tcW w:w="560" w:type="dxa"/>
          </w:tcPr>
          <w:p w14:paraId="68CE03F2" w14:textId="77777777" w:rsidR="00A2611F" w:rsidRDefault="00000000">
            <w:pPr>
              <w:spacing w:after="40"/>
            </w:pPr>
            <w:r>
              <w:rPr>
                <w:sz w:val="16"/>
                <w:szCs w:val="16"/>
              </w:rPr>
              <w:t>POS</w:t>
            </w:r>
          </w:p>
        </w:tc>
        <w:tc>
          <w:tcPr>
            <w:tcW w:w="6600" w:type="dxa"/>
          </w:tcPr>
          <w:p w14:paraId="427A3880" w14:textId="77777777" w:rsidR="00A2611F" w:rsidRDefault="00000000">
            <w:pPr>
              <w:spacing w:after="40"/>
            </w:pPr>
            <w:r>
              <w:rPr>
                <w:sz w:val="16"/>
                <w:szCs w:val="16"/>
              </w:rPr>
              <w:t>Rules-based multi-touch attribution reported, with the model disclosed.</w:t>
            </w:r>
          </w:p>
        </w:tc>
      </w:tr>
      <w:tr w:rsidR="00A2611F" w14:paraId="3B752E37" w14:textId="77777777">
        <w:tc>
          <w:tcPr>
            <w:tcW w:w="2200" w:type="dxa"/>
          </w:tcPr>
          <w:p w14:paraId="6B7A23F1" w14:textId="77777777" w:rsidR="00A2611F" w:rsidRDefault="00000000">
            <w:pPr>
              <w:spacing w:after="40"/>
            </w:pPr>
            <w:r>
              <w:rPr>
                <w:sz w:val="16"/>
                <w:szCs w:val="16"/>
              </w:rPr>
              <w:t>Direct Marketing Delivery</w:t>
            </w:r>
          </w:p>
        </w:tc>
        <w:tc>
          <w:tcPr>
            <w:tcW w:w="480" w:type="dxa"/>
          </w:tcPr>
          <w:p w14:paraId="47C1B582" w14:textId="77777777" w:rsidR="00A2611F" w:rsidRDefault="00000000">
            <w:pPr>
              <w:spacing w:after="40"/>
            </w:pPr>
            <w:r>
              <w:rPr>
                <w:sz w:val="16"/>
                <w:szCs w:val="16"/>
              </w:rPr>
              <w:t>–</w:t>
            </w:r>
          </w:p>
        </w:tc>
        <w:tc>
          <w:tcPr>
            <w:tcW w:w="480" w:type="dxa"/>
          </w:tcPr>
          <w:p w14:paraId="6D5D17DD" w14:textId="77777777" w:rsidR="00A2611F" w:rsidRDefault="00000000">
            <w:pPr>
              <w:spacing w:after="40"/>
            </w:pPr>
            <w:r>
              <w:rPr>
                <w:sz w:val="16"/>
                <w:szCs w:val="16"/>
              </w:rPr>
              <w:t>–</w:t>
            </w:r>
          </w:p>
        </w:tc>
        <w:tc>
          <w:tcPr>
            <w:tcW w:w="480" w:type="dxa"/>
          </w:tcPr>
          <w:p w14:paraId="276958BF" w14:textId="77777777" w:rsidR="00A2611F" w:rsidRDefault="00000000">
            <w:pPr>
              <w:spacing w:after="40"/>
            </w:pPr>
            <w:r>
              <w:rPr>
                <w:sz w:val="16"/>
                <w:szCs w:val="16"/>
              </w:rPr>
              <w:t>✓</w:t>
            </w:r>
          </w:p>
        </w:tc>
        <w:tc>
          <w:tcPr>
            <w:tcW w:w="560" w:type="dxa"/>
          </w:tcPr>
          <w:p w14:paraId="0F7E5AC0" w14:textId="77777777" w:rsidR="00A2611F" w:rsidRDefault="00000000">
            <w:pPr>
              <w:spacing w:after="40"/>
            </w:pPr>
            <w:r>
              <w:rPr>
                <w:sz w:val="16"/>
                <w:szCs w:val="16"/>
              </w:rPr>
              <w:t>–</w:t>
            </w:r>
          </w:p>
        </w:tc>
        <w:tc>
          <w:tcPr>
            <w:tcW w:w="6600" w:type="dxa"/>
          </w:tcPr>
          <w:p w14:paraId="7D6C3689" w14:textId="77777777" w:rsidR="00A2611F" w:rsidRDefault="00000000">
            <w:pPr>
              <w:spacing w:after="40"/>
            </w:pPr>
            <w:r>
              <w:rPr>
                <w:sz w:val="16"/>
                <w:szCs w:val="16"/>
              </w:rPr>
              <w:t>Sends, delivery, open, click, and unsubscribe rates reported, by campaign and segment, WhatsApp reported separately, consent basis (POPIA) disclosed.</w:t>
            </w:r>
          </w:p>
        </w:tc>
      </w:tr>
      <w:tr w:rsidR="00A2611F" w14:paraId="7A952F86" w14:textId="77777777">
        <w:tc>
          <w:tcPr>
            <w:tcW w:w="2200" w:type="dxa"/>
          </w:tcPr>
          <w:p w14:paraId="197AC4FB" w14:textId="77777777" w:rsidR="00A2611F" w:rsidRDefault="00000000">
            <w:pPr>
              <w:spacing w:after="40"/>
            </w:pPr>
            <w:r>
              <w:rPr>
                <w:sz w:val="16"/>
                <w:szCs w:val="16"/>
              </w:rPr>
              <w:t>Incremental Sales / iROAS</w:t>
            </w:r>
          </w:p>
        </w:tc>
        <w:tc>
          <w:tcPr>
            <w:tcW w:w="480" w:type="dxa"/>
          </w:tcPr>
          <w:p w14:paraId="15E39239" w14:textId="77777777" w:rsidR="00A2611F" w:rsidRDefault="00000000">
            <w:pPr>
              <w:spacing w:after="40"/>
            </w:pPr>
            <w:r>
              <w:rPr>
                <w:sz w:val="16"/>
                <w:szCs w:val="16"/>
              </w:rPr>
              <w:t>✓</w:t>
            </w:r>
          </w:p>
        </w:tc>
        <w:tc>
          <w:tcPr>
            <w:tcW w:w="480" w:type="dxa"/>
          </w:tcPr>
          <w:p w14:paraId="566D61A8" w14:textId="77777777" w:rsidR="00A2611F" w:rsidRDefault="00000000">
            <w:pPr>
              <w:spacing w:after="40"/>
            </w:pPr>
            <w:r>
              <w:rPr>
                <w:sz w:val="16"/>
                <w:szCs w:val="16"/>
              </w:rPr>
              <w:t>✓</w:t>
            </w:r>
          </w:p>
        </w:tc>
        <w:tc>
          <w:tcPr>
            <w:tcW w:w="480" w:type="dxa"/>
          </w:tcPr>
          <w:p w14:paraId="3D4858C7" w14:textId="77777777" w:rsidR="00A2611F" w:rsidRDefault="00000000">
            <w:pPr>
              <w:spacing w:after="40"/>
            </w:pPr>
            <w:r>
              <w:rPr>
                <w:sz w:val="16"/>
                <w:szCs w:val="16"/>
              </w:rPr>
              <w:t>✓</w:t>
            </w:r>
          </w:p>
        </w:tc>
        <w:tc>
          <w:tcPr>
            <w:tcW w:w="560" w:type="dxa"/>
          </w:tcPr>
          <w:p w14:paraId="1B828F9B" w14:textId="77777777" w:rsidR="00A2611F" w:rsidRDefault="00000000">
            <w:pPr>
              <w:spacing w:after="40"/>
            </w:pPr>
            <w:r>
              <w:rPr>
                <w:sz w:val="16"/>
                <w:szCs w:val="16"/>
              </w:rPr>
              <w:t>POS</w:t>
            </w:r>
          </w:p>
        </w:tc>
        <w:tc>
          <w:tcPr>
            <w:tcW w:w="6600" w:type="dxa"/>
          </w:tcPr>
          <w:p w14:paraId="7ACBE175" w14:textId="77777777" w:rsidR="00A2611F" w:rsidRDefault="00000000">
            <w:pPr>
              <w:spacing w:after="40"/>
            </w:pPr>
            <w:r>
              <w:rPr>
                <w:sz w:val="16"/>
                <w:szCs w:val="16"/>
              </w:rPr>
              <w:t>Reported as directional sales lift if pre/post only; labelled incrementality or iROAS only where built on a genuine control group with the §3.1.2 minimum disclosures.</w:t>
            </w:r>
          </w:p>
        </w:tc>
      </w:tr>
      <w:tr w:rsidR="00A2611F" w14:paraId="498CD213" w14:textId="77777777">
        <w:tc>
          <w:tcPr>
            <w:tcW w:w="2200" w:type="dxa"/>
          </w:tcPr>
          <w:p w14:paraId="484D28C8" w14:textId="77777777" w:rsidR="00A2611F" w:rsidRDefault="00000000">
            <w:pPr>
              <w:spacing w:after="40"/>
            </w:pPr>
            <w:r>
              <w:rPr>
                <w:sz w:val="16"/>
                <w:szCs w:val="16"/>
              </w:rPr>
              <w:t>Brand Lift</w:t>
            </w:r>
          </w:p>
        </w:tc>
        <w:tc>
          <w:tcPr>
            <w:tcW w:w="480" w:type="dxa"/>
          </w:tcPr>
          <w:p w14:paraId="5322594C" w14:textId="77777777" w:rsidR="00A2611F" w:rsidRDefault="00000000">
            <w:pPr>
              <w:spacing w:after="40"/>
            </w:pPr>
            <w:r>
              <w:rPr>
                <w:sz w:val="16"/>
                <w:szCs w:val="16"/>
              </w:rPr>
              <w:t>✓</w:t>
            </w:r>
          </w:p>
        </w:tc>
        <w:tc>
          <w:tcPr>
            <w:tcW w:w="480" w:type="dxa"/>
          </w:tcPr>
          <w:p w14:paraId="67C88DE0" w14:textId="77777777" w:rsidR="00A2611F" w:rsidRDefault="00000000">
            <w:pPr>
              <w:spacing w:after="40"/>
            </w:pPr>
            <w:r>
              <w:rPr>
                <w:sz w:val="16"/>
                <w:szCs w:val="16"/>
              </w:rPr>
              <w:t>✓</w:t>
            </w:r>
          </w:p>
        </w:tc>
        <w:tc>
          <w:tcPr>
            <w:tcW w:w="480" w:type="dxa"/>
          </w:tcPr>
          <w:p w14:paraId="13F7BF57" w14:textId="77777777" w:rsidR="00A2611F" w:rsidRDefault="00000000">
            <w:pPr>
              <w:spacing w:after="40"/>
            </w:pPr>
            <w:r>
              <w:rPr>
                <w:sz w:val="16"/>
                <w:szCs w:val="16"/>
              </w:rPr>
              <w:t>–</w:t>
            </w:r>
          </w:p>
        </w:tc>
        <w:tc>
          <w:tcPr>
            <w:tcW w:w="560" w:type="dxa"/>
          </w:tcPr>
          <w:p w14:paraId="227434D7" w14:textId="77777777" w:rsidR="00A2611F" w:rsidRDefault="00000000">
            <w:pPr>
              <w:spacing w:after="40"/>
            </w:pPr>
            <w:r>
              <w:rPr>
                <w:sz w:val="16"/>
                <w:szCs w:val="16"/>
              </w:rPr>
              <w:t>–</w:t>
            </w:r>
          </w:p>
        </w:tc>
        <w:tc>
          <w:tcPr>
            <w:tcW w:w="6600" w:type="dxa"/>
          </w:tcPr>
          <w:p w14:paraId="5F1BD37A" w14:textId="77777777" w:rsidR="00A2611F" w:rsidRDefault="00000000">
            <w:pPr>
              <w:spacing w:after="40"/>
            </w:pPr>
            <w:r>
              <w:rPr>
                <w:sz w:val="16"/>
                <w:szCs w:val="16"/>
              </w:rPr>
              <w:t>Survey-based recall / awareness vs control.</w:t>
            </w:r>
          </w:p>
        </w:tc>
      </w:tr>
      <w:tr w:rsidR="00A2611F" w14:paraId="5E5C967D" w14:textId="77777777">
        <w:tc>
          <w:tcPr>
            <w:tcW w:w="2200" w:type="dxa"/>
          </w:tcPr>
          <w:p w14:paraId="3A640C2D" w14:textId="77777777" w:rsidR="00A2611F" w:rsidRDefault="00000000">
            <w:pPr>
              <w:spacing w:after="40"/>
            </w:pPr>
            <w:r>
              <w:rPr>
                <w:sz w:val="16"/>
                <w:szCs w:val="16"/>
              </w:rPr>
              <w:t>MMM Data Export</w:t>
            </w:r>
          </w:p>
        </w:tc>
        <w:tc>
          <w:tcPr>
            <w:tcW w:w="480" w:type="dxa"/>
          </w:tcPr>
          <w:p w14:paraId="2B33FC0E" w14:textId="77777777" w:rsidR="00A2611F" w:rsidRDefault="00000000">
            <w:pPr>
              <w:spacing w:after="40"/>
            </w:pPr>
            <w:r>
              <w:rPr>
                <w:sz w:val="16"/>
                <w:szCs w:val="16"/>
              </w:rPr>
              <w:t>✓</w:t>
            </w:r>
          </w:p>
        </w:tc>
        <w:tc>
          <w:tcPr>
            <w:tcW w:w="480" w:type="dxa"/>
          </w:tcPr>
          <w:p w14:paraId="04597989" w14:textId="77777777" w:rsidR="00A2611F" w:rsidRDefault="00000000">
            <w:pPr>
              <w:spacing w:after="40"/>
            </w:pPr>
            <w:r>
              <w:rPr>
                <w:sz w:val="16"/>
                <w:szCs w:val="16"/>
              </w:rPr>
              <w:t>✓</w:t>
            </w:r>
          </w:p>
        </w:tc>
        <w:tc>
          <w:tcPr>
            <w:tcW w:w="480" w:type="dxa"/>
          </w:tcPr>
          <w:p w14:paraId="77982514" w14:textId="77777777" w:rsidR="00A2611F" w:rsidRDefault="00000000">
            <w:pPr>
              <w:spacing w:after="40"/>
            </w:pPr>
            <w:r>
              <w:rPr>
                <w:sz w:val="16"/>
                <w:szCs w:val="16"/>
              </w:rPr>
              <w:t>✓</w:t>
            </w:r>
          </w:p>
        </w:tc>
        <w:tc>
          <w:tcPr>
            <w:tcW w:w="560" w:type="dxa"/>
          </w:tcPr>
          <w:p w14:paraId="22D365D5" w14:textId="77777777" w:rsidR="00A2611F" w:rsidRDefault="00000000">
            <w:pPr>
              <w:spacing w:after="40"/>
            </w:pPr>
            <w:r>
              <w:rPr>
                <w:sz w:val="16"/>
                <w:szCs w:val="16"/>
              </w:rPr>
              <w:t>✓</w:t>
            </w:r>
          </w:p>
        </w:tc>
        <w:tc>
          <w:tcPr>
            <w:tcW w:w="6600" w:type="dxa"/>
          </w:tcPr>
          <w:p w14:paraId="22F64FB5" w14:textId="77777777" w:rsidR="00A2611F" w:rsidRDefault="00000000">
            <w:pPr>
              <w:spacing w:after="40"/>
            </w:pPr>
            <w:r>
              <w:rPr>
                <w:sz w:val="16"/>
                <w:szCs w:val="16"/>
              </w:rPr>
              <w:t>Not required at Standard — an Advanced-tier capability (§3.2).</w:t>
            </w:r>
          </w:p>
        </w:tc>
      </w:tr>
      <w:tr w:rsidR="00A2611F" w14:paraId="1433B5BD" w14:textId="77777777">
        <w:tc>
          <w:tcPr>
            <w:tcW w:w="2200" w:type="dxa"/>
          </w:tcPr>
          <w:p w14:paraId="21061B0B" w14:textId="77777777" w:rsidR="00A2611F" w:rsidRDefault="00000000">
            <w:pPr>
              <w:spacing w:after="40"/>
            </w:pPr>
            <w:r>
              <w:rPr>
                <w:sz w:val="16"/>
                <w:szCs w:val="16"/>
              </w:rPr>
              <w:t>In-Store Impressions</w:t>
            </w:r>
          </w:p>
        </w:tc>
        <w:tc>
          <w:tcPr>
            <w:tcW w:w="480" w:type="dxa"/>
          </w:tcPr>
          <w:p w14:paraId="0248427A" w14:textId="77777777" w:rsidR="00A2611F" w:rsidRDefault="00000000">
            <w:pPr>
              <w:spacing w:after="40"/>
            </w:pPr>
            <w:r>
              <w:rPr>
                <w:sz w:val="16"/>
                <w:szCs w:val="16"/>
              </w:rPr>
              <w:t>–</w:t>
            </w:r>
          </w:p>
        </w:tc>
        <w:tc>
          <w:tcPr>
            <w:tcW w:w="480" w:type="dxa"/>
          </w:tcPr>
          <w:p w14:paraId="292AEEC1" w14:textId="77777777" w:rsidR="00A2611F" w:rsidRDefault="00000000">
            <w:pPr>
              <w:spacing w:after="40"/>
            </w:pPr>
            <w:r>
              <w:rPr>
                <w:sz w:val="16"/>
                <w:szCs w:val="16"/>
              </w:rPr>
              <w:t>–</w:t>
            </w:r>
          </w:p>
        </w:tc>
        <w:tc>
          <w:tcPr>
            <w:tcW w:w="480" w:type="dxa"/>
          </w:tcPr>
          <w:p w14:paraId="6F1630F0" w14:textId="77777777" w:rsidR="00A2611F" w:rsidRDefault="00000000">
            <w:pPr>
              <w:spacing w:after="40"/>
            </w:pPr>
            <w:r>
              <w:rPr>
                <w:sz w:val="16"/>
                <w:szCs w:val="16"/>
              </w:rPr>
              <w:t>–</w:t>
            </w:r>
          </w:p>
        </w:tc>
        <w:tc>
          <w:tcPr>
            <w:tcW w:w="560" w:type="dxa"/>
          </w:tcPr>
          <w:p w14:paraId="41605B54" w14:textId="77777777" w:rsidR="00A2611F" w:rsidRDefault="00000000">
            <w:pPr>
              <w:spacing w:after="40"/>
            </w:pPr>
            <w:r>
              <w:rPr>
                <w:sz w:val="16"/>
                <w:szCs w:val="16"/>
              </w:rPr>
              <w:t>✓</w:t>
            </w:r>
          </w:p>
        </w:tc>
        <w:tc>
          <w:tcPr>
            <w:tcW w:w="6600" w:type="dxa"/>
          </w:tcPr>
          <w:p w14:paraId="289C6DF9" w14:textId="77777777" w:rsidR="00A2611F" w:rsidRDefault="00000000">
            <w:pPr>
              <w:spacing w:after="40"/>
            </w:pPr>
            <w:r>
              <w:rPr>
                <w:sz w:val="16"/>
                <w:szCs w:val="16"/>
              </w:rPr>
              <w:t>Footfall/Traffic-based OTS, zone-calibrated, with the derivation method disclosed.</w:t>
            </w:r>
          </w:p>
        </w:tc>
      </w:tr>
      <w:tr w:rsidR="00A2611F" w14:paraId="3B614381" w14:textId="77777777">
        <w:tc>
          <w:tcPr>
            <w:tcW w:w="2200" w:type="dxa"/>
          </w:tcPr>
          <w:p w14:paraId="1ECFC3B1" w14:textId="77777777" w:rsidR="00A2611F" w:rsidRDefault="00000000">
            <w:pPr>
              <w:spacing w:after="40"/>
            </w:pPr>
            <w:r>
              <w:rPr>
                <w:sz w:val="16"/>
                <w:szCs w:val="16"/>
              </w:rPr>
              <w:lastRenderedPageBreak/>
              <w:t>Verified Playout</w:t>
            </w:r>
          </w:p>
        </w:tc>
        <w:tc>
          <w:tcPr>
            <w:tcW w:w="480" w:type="dxa"/>
          </w:tcPr>
          <w:p w14:paraId="23932156" w14:textId="77777777" w:rsidR="00A2611F" w:rsidRDefault="00000000">
            <w:pPr>
              <w:spacing w:after="40"/>
            </w:pPr>
            <w:r>
              <w:rPr>
                <w:sz w:val="16"/>
                <w:szCs w:val="16"/>
              </w:rPr>
              <w:t>–</w:t>
            </w:r>
          </w:p>
        </w:tc>
        <w:tc>
          <w:tcPr>
            <w:tcW w:w="480" w:type="dxa"/>
          </w:tcPr>
          <w:p w14:paraId="5E72B762" w14:textId="77777777" w:rsidR="00A2611F" w:rsidRDefault="00000000">
            <w:pPr>
              <w:spacing w:after="40"/>
            </w:pPr>
            <w:r>
              <w:rPr>
                <w:sz w:val="16"/>
                <w:szCs w:val="16"/>
              </w:rPr>
              <w:t>–</w:t>
            </w:r>
          </w:p>
        </w:tc>
        <w:tc>
          <w:tcPr>
            <w:tcW w:w="480" w:type="dxa"/>
          </w:tcPr>
          <w:p w14:paraId="71F20DF4" w14:textId="77777777" w:rsidR="00A2611F" w:rsidRDefault="00000000">
            <w:pPr>
              <w:spacing w:after="40"/>
            </w:pPr>
            <w:r>
              <w:rPr>
                <w:sz w:val="16"/>
                <w:szCs w:val="16"/>
              </w:rPr>
              <w:t>–</w:t>
            </w:r>
          </w:p>
        </w:tc>
        <w:tc>
          <w:tcPr>
            <w:tcW w:w="560" w:type="dxa"/>
          </w:tcPr>
          <w:p w14:paraId="6E0E444C" w14:textId="77777777" w:rsidR="00A2611F" w:rsidRDefault="00000000">
            <w:pPr>
              <w:spacing w:after="40"/>
            </w:pPr>
            <w:r>
              <w:rPr>
                <w:sz w:val="16"/>
                <w:szCs w:val="16"/>
              </w:rPr>
              <w:t>✓</w:t>
            </w:r>
          </w:p>
        </w:tc>
        <w:tc>
          <w:tcPr>
            <w:tcW w:w="6600" w:type="dxa"/>
          </w:tcPr>
          <w:p w14:paraId="345EFEC9" w14:textId="77777777" w:rsidR="00A2611F" w:rsidRDefault="00000000">
            <w:pPr>
              <w:spacing w:after="40"/>
            </w:pPr>
            <w:r>
              <w:rPr>
                <w:sz w:val="16"/>
                <w:szCs w:val="16"/>
              </w:rPr>
              <w:t>Pilot on instrumented sites, playout logged, coverage disclosed.</w:t>
            </w:r>
          </w:p>
        </w:tc>
      </w:tr>
      <w:tr w:rsidR="00A2611F" w14:paraId="131C1AB0" w14:textId="77777777">
        <w:tc>
          <w:tcPr>
            <w:tcW w:w="2200" w:type="dxa"/>
          </w:tcPr>
          <w:p w14:paraId="1D678794" w14:textId="77777777" w:rsidR="00A2611F" w:rsidRDefault="00000000">
            <w:pPr>
              <w:spacing w:after="40"/>
            </w:pPr>
            <w:r>
              <w:rPr>
                <w:sz w:val="16"/>
                <w:szCs w:val="16"/>
              </w:rPr>
              <w:t>Estimated Unique Reach</w:t>
            </w:r>
          </w:p>
        </w:tc>
        <w:tc>
          <w:tcPr>
            <w:tcW w:w="480" w:type="dxa"/>
          </w:tcPr>
          <w:p w14:paraId="27C8F8D5" w14:textId="77777777" w:rsidR="00A2611F" w:rsidRDefault="00000000">
            <w:pPr>
              <w:spacing w:after="40"/>
            </w:pPr>
            <w:r>
              <w:rPr>
                <w:sz w:val="16"/>
                <w:szCs w:val="16"/>
              </w:rPr>
              <w:t>–</w:t>
            </w:r>
          </w:p>
        </w:tc>
        <w:tc>
          <w:tcPr>
            <w:tcW w:w="480" w:type="dxa"/>
          </w:tcPr>
          <w:p w14:paraId="63FEC277" w14:textId="77777777" w:rsidR="00A2611F" w:rsidRDefault="00000000">
            <w:pPr>
              <w:spacing w:after="40"/>
            </w:pPr>
            <w:r>
              <w:rPr>
                <w:sz w:val="16"/>
                <w:szCs w:val="16"/>
              </w:rPr>
              <w:t>–</w:t>
            </w:r>
          </w:p>
        </w:tc>
        <w:tc>
          <w:tcPr>
            <w:tcW w:w="480" w:type="dxa"/>
          </w:tcPr>
          <w:p w14:paraId="3F774D2F" w14:textId="77777777" w:rsidR="00A2611F" w:rsidRDefault="00000000">
            <w:pPr>
              <w:spacing w:after="40"/>
            </w:pPr>
            <w:r>
              <w:rPr>
                <w:sz w:val="16"/>
                <w:szCs w:val="16"/>
              </w:rPr>
              <w:t>–</w:t>
            </w:r>
          </w:p>
        </w:tc>
        <w:tc>
          <w:tcPr>
            <w:tcW w:w="560" w:type="dxa"/>
          </w:tcPr>
          <w:p w14:paraId="5ED8EAE0" w14:textId="77777777" w:rsidR="00A2611F" w:rsidRDefault="00000000">
            <w:pPr>
              <w:spacing w:after="40"/>
            </w:pPr>
            <w:r>
              <w:rPr>
                <w:sz w:val="16"/>
                <w:szCs w:val="16"/>
              </w:rPr>
              <w:t>✓</w:t>
            </w:r>
          </w:p>
        </w:tc>
        <w:tc>
          <w:tcPr>
            <w:tcW w:w="6600" w:type="dxa"/>
          </w:tcPr>
          <w:p w14:paraId="42B7754E" w14:textId="77777777" w:rsidR="00A2611F" w:rsidRDefault="00000000">
            <w:pPr>
              <w:spacing w:after="40"/>
            </w:pPr>
            <w:r>
              <w:rPr>
                <w:sz w:val="16"/>
                <w:szCs w:val="16"/>
              </w:rPr>
              <w:t>Footfall-derived deduplicated estimate, with the method disclosed.</w:t>
            </w:r>
          </w:p>
        </w:tc>
      </w:tr>
      <w:tr w:rsidR="00A2611F" w14:paraId="13291E63" w14:textId="77777777">
        <w:tc>
          <w:tcPr>
            <w:tcW w:w="2200" w:type="dxa"/>
          </w:tcPr>
          <w:p w14:paraId="38389440" w14:textId="77777777" w:rsidR="00A2611F" w:rsidRDefault="00000000">
            <w:pPr>
              <w:spacing w:after="40"/>
            </w:pPr>
            <w:r>
              <w:rPr>
                <w:sz w:val="16"/>
                <w:szCs w:val="16"/>
              </w:rPr>
              <w:t>POS-Linked In-Store Sales</w:t>
            </w:r>
          </w:p>
        </w:tc>
        <w:tc>
          <w:tcPr>
            <w:tcW w:w="480" w:type="dxa"/>
          </w:tcPr>
          <w:p w14:paraId="6D9C2B92" w14:textId="77777777" w:rsidR="00A2611F" w:rsidRDefault="00000000">
            <w:pPr>
              <w:spacing w:after="40"/>
            </w:pPr>
            <w:r>
              <w:rPr>
                <w:sz w:val="16"/>
                <w:szCs w:val="16"/>
              </w:rPr>
              <w:t>–</w:t>
            </w:r>
          </w:p>
        </w:tc>
        <w:tc>
          <w:tcPr>
            <w:tcW w:w="480" w:type="dxa"/>
          </w:tcPr>
          <w:p w14:paraId="1B407574" w14:textId="77777777" w:rsidR="00A2611F" w:rsidRDefault="00000000">
            <w:pPr>
              <w:spacing w:after="40"/>
            </w:pPr>
            <w:r>
              <w:rPr>
                <w:sz w:val="16"/>
                <w:szCs w:val="16"/>
              </w:rPr>
              <w:t>–</w:t>
            </w:r>
          </w:p>
        </w:tc>
        <w:tc>
          <w:tcPr>
            <w:tcW w:w="480" w:type="dxa"/>
          </w:tcPr>
          <w:p w14:paraId="12E6AEE5" w14:textId="77777777" w:rsidR="00A2611F" w:rsidRDefault="00000000">
            <w:pPr>
              <w:spacing w:after="40"/>
            </w:pPr>
            <w:r>
              <w:rPr>
                <w:sz w:val="16"/>
                <w:szCs w:val="16"/>
              </w:rPr>
              <w:t>–</w:t>
            </w:r>
          </w:p>
        </w:tc>
        <w:tc>
          <w:tcPr>
            <w:tcW w:w="560" w:type="dxa"/>
          </w:tcPr>
          <w:p w14:paraId="36D0532B" w14:textId="77777777" w:rsidR="00A2611F" w:rsidRDefault="00000000">
            <w:pPr>
              <w:spacing w:after="40"/>
            </w:pPr>
            <w:r>
              <w:rPr>
                <w:sz w:val="16"/>
                <w:szCs w:val="16"/>
              </w:rPr>
              <w:t>✓</w:t>
            </w:r>
          </w:p>
        </w:tc>
        <w:tc>
          <w:tcPr>
            <w:tcW w:w="6600" w:type="dxa"/>
          </w:tcPr>
          <w:p w14:paraId="71137980" w14:textId="77777777" w:rsidR="00A2611F" w:rsidRDefault="00000000">
            <w:pPr>
              <w:spacing w:after="40"/>
            </w:pPr>
            <w:r>
              <w:rPr>
                <w:sz w:val="16"/>
                <w:szCs w:val="16"/>
              </w:rPr>
              <w:t>Loyalty-linked attributed sales reported by store and SKU, with the linkage rate disclosed.</w:t>
            </w:r>
          </w:p>
        </w:tc>
      </w:tr>
      <w:tr w:rsidR="00A2611F" w14:paraId="7AFBB1A1" w14:textId="77777777">
        <w:tc>
          <w:tcPr>
            <w:tcW w:w="2200" w:type="dxa"/>
          </w:tcPr>
          <w:p w14:paraId="2B7F6B3F" w14:textId="77777777" w:rsidR="00A2611F" w:rsidRDefault="00000000">
            <w:pPr>
              <w:spacing w:after="40"/>
            </w:pPr>
            <w:r>
              <w:rPr>
                <w:sz w:val="16"/>
                <w:szCs w:val="16"/>
              </w:rPr>
              <w:t>In-Store Sales Lift</w:t>
            </w:r>
          </w:p>
        </w:tc>
        <w:tc>
          <w:tcPr>
            <w:tcW w:w="480" w:type="dxa"/>
          </w:tcPr>
          <w:p w14:paraId="52421AF7" w14:textId="77777777" w:rsidR="00A2611F" w:rsidRDefault="00000000">
            <w:pPr>
              <w:spacing w:after="40"/>
            </w:pPr>
            <w:r>
              <w:rPr>
                <w:sz w:val="16"/>
                <w:szCs w:val="16"/>
              </w:rPr>
              <w:t>–</w:t>
            </w:r>
          </w:p>
        </w:tc>
        <w:tc>
          <w:tcPr>
            <w:tcW w:w="480" w:type="dxa"/>
          </w:tcPr>
          <w:p w14:paraId="4D114FB8" w14:textId="77777777" w:rsidR="00A2611F" w:rsidRDefault="00000000">
            <w:pPr>
              <w:spacing w:after="40"/>
            </w:pPr>
            <w:r>
              <w:rPr>
                <w:sz w:val="16"/>
                <w:szCs w:val="16"/>
              </w:rPr>
              <w:t>–</w:t>
            </w:r>
          </w:p>
        </w:tc>
        <w:tc>
          <w:tcPr>
            <w:tcW w:w="480" w:type="dxa"/>
          </w:tcPr>
          <w:p w14:paraId="2C2C2574" w14:textId="77777777" w:rsidR="00A2611F" w:rsidRDefault="00000000">
            <w:pPr>
              <w:spacing w:after="40"/>
            </w:pPr>
            <w:r>
              <w:rPr>
                <w:sz w:val="16"/>
                <w:szCs w:val="16"/>
              </w:rPr>
              <w:t>–</w:t>
            </w:r>
          </w:p>
        </w:tc>
        <w:tc>
          <w:tcPr>
            <w:tcW w:w="560" w:type="dxa"/>
          </w:tcPr>
          <w:p w14:paraId="34A5A44A" w14:textId="77777777" w:rsidR="00A2611F" w:rsidRDefault="00000000">
            <w:pPr>
              <w:spacing w:after="40"/>
            </w:pPr>
            <w:r>
              <w:rPr>
                <w:sz w:val="16"/>
                <w:szCs w:val="16"/>
              </w:rPr>
              <w:t>✓</w:t>
            </w:r>
          </w:p>
        </w:tc>
        <w:tc>
          <w:tcPr>
            <w:tcW w:w="6600" w:type="dxa"/>
          </w:tcPr>
          <w:p w14:paraId="519C79DB" w14:textId="77777777" w:rsidR="00A2611F" w:rsidRDefault="00000000">
            <w:pPr>
              <w:spacing w:after="40"/>
            </w:pPr>
            <w:r>
              <w:rPr>
                <w:sz w:val="16"/>
                <w:szCs w:val="16"/>
              </w:rPr>
              <w:t>Test-vs-control store comparison using a matched-market design with the matching criteria disclosed; still labelled directional sales lift, not incrementality, per §3.1.</w:t>
            </w:r>
          </w:p>
        </w:tc>
      </w:tr>
      <w:tr w:rsidR="00A2611F" w14:paraId="10292C2A" w14:textId="77777777">
        <w:tc>
          <w:tcPr>
            <w:tcW w:w="2200" w:type="dxa"/>
          </w:tcPr>
          <w:p w14:paraId="24DA5CFC" w14:textId="77777777" w:rsidR="00A2611F" w:rsidRDefault="00000000">
            <w:pPr>
              <w:spacing w:after="40"/>
            </w:pPr>
            <w:r>
              <w:rPr>
                <w:sz w:val="16"/>
                <w:szCs w:val="16"/>
              </w:rPr>
              <w:t>In-Store Conversion Lift</w:t>
            </w:r>
          </w:p>
        </w:tc>
        <w:tc>
          <w:tcPr>
            <w:tcW w:w="480" w:type="dxa"/>
          </w:tcPr>
          <w:p w14:paraId="682DEDCF" w14:textId="77777777" w:rsidR="00A2611F" w:rsidRDefault="00000000">
            <w:pPr>
              <w:spacing w:after="40"/>
            </w:pPr>
            <w:r>
              <w:rPr>
                <w:sz w:val="16"/>
                <w:szCs w:val="16"/>
              </w:rPr>
              <w:t>–</w:t>
            </w:r>
          </w:p>
        </w:tc>
        <w:tc>
          <w:tcPr>
            <w:tcW w:w="480" w:type="dxa"/>
          </w:tcPr>
          <w:p w14:paraId="45091C3B" w14:textId="77777777" w:rsidR="00A2611F" w:rsidRDefault="00000000">
            <w:pPr>
              <w:spacing w:after="40"/>
            </w:pPr>
            <w:r>
              <w:rPr>
                <w:sz w:val="16"/>
                <w:szCs w:val="16"/>
              </w:rPr>
              <w:t>–</w:t>
            </w:r>
          </w:p>
        </w:tc>
        <w:tc>
          <w:tcPr>
            <w:tcW w:w="480" w:type="dxa"/>
          </w:tcPr>
          <w:p w14:paraId="098CCAD8" w14:textId="77777777" w:rsidR="00A2611F" w:rsidRDefault="00000000">
            <w:pPr>
              <w:spacing w:after="40"/>
            </w:pPr>
            <w:r>
              <w:rPr>
                <w:sz w:val="16"/>
                <w:szCs w:val="16"/>
              </w:rPr>
              <w:t>–</w:t>
            </w:r>
          </w:p>
        </w:tc>
        <w:tc>
          <w:tcPr>
            <w:tcW w:w="560" w:type="dxa"/>
          </w:tcPr>
          <w:p w14:paraId="794E77EA" w14:textId="77777777" w:rsidR="00A2611F" w:rsidRDefault="00000000">
            <w:pPr>
              <w:spacing w:after="40"/>
            </w:pPr>
            <w:r>
              <w:rPr>
                <w:sz w:val="16"/>
                <w:szCs w:val="16"/>
              </w:rPr>
              <w:t>✓</w:t>
            </w:r>
          </w:p>
        </w:tc>
        <w:tc>
          <w:tcPr>
            <w:tcW w:w="6600" w:type="dxa"/>
          </w:tcPr>
          <w:p w14:paraId="525B35BB" w14:textId="77777777" w:rsidR="00A2611F" w:rsidRDefault="00000000">
            <w:pPr>
              <w:spacing w:after="40"/>
            </w:pPr>
            <w:r>
              <w:rPr>
                <w:sz w:val="16"/>
                <w:szCs w:val="16"/>
              </w:rPr>
              <w:t>Test-vs-control comparison using a matched-market design with the matching criteria disclosed, reported directionally.</w:t>
            </w:r>
          </w:p>
        </w:tc>
      </w:tr>
    </w:tbl>
    <w:p w14:paraId="169009F2" w14:textId="77777777" w:rsidR="00A2611F" w:rsidRDefault="00000000">
      <w:r>
        <w:br w:type="page"/>
      </w:r>
    </w:p>
    <w:p w14:paraId="2EDA55B8" w14:textId="77777777" w:rsidR="00A2611F" w:rsidRDefault="00000000">
      <w:pPr>
        <w:pStyle w:val="Heading1"/>
      </w:pPr>
      <w:r>
        <w:lastRenderedPageBreak/>
        <w:t>Appendix B — Survey Instrument</w:t>
      </w:r>
    </w:p>
    <w:p w14:paraId="09172E4B" w14:textId="77777777" w:rsidR="00A2611F" w:rsidRDefault="00000000">
      <w:pPr>
        <w:spacing w:after="160" w:line="276" w:lineRule="auto"/>
        <w:jc w:val="both"/>
      </w:pPr>
      <w:r>
        <w:t>The standard is operationalised through the SA RMN Metric Inventory — the template each retailer completes to declare, per metric, whether it is reported, how it is defined, the granularity available, the methodology, and the attribution window. The inventory mirrors the structure of this document: the same categories, the same metric definitions, and the same tier language, so a completed inventory maps directly onto the standard.</w:t>
      </w:r>
    </w:p>
    <w:p w14:paraId="59579A6F" w14:textId="77777777" w:rsidR="00A2611F" w:rsidRDefault="00000000">
      <w:pPr>
        <w:spacing w:after="160" w:line="276" w:lineRule="auto"/>
        <w:jc w:val="both"/>
      </w:pPr>
      <w:r>
        <w:t>The instrument is the bridge between the standard and the market. The standard says what good looks like; the inventory captures where each retailer actually stands; and the gap between them is the Task Force's work programme. The inventory is maintained separately as a spreadsheet and is referenced here as the companion data-collection artifact to this document.</w:t>
      </w:r>
    </w:p>
    <w:p w14:paraId="10CC6E17" w14:textId="77777777" w:rsidR="00A2611F" w:rsidRDefault="00000000">
      <w:pPr>
        <w:spacing w:after="160" w:line="276" w:lineRule="auto"/>
        <w:jc w:val="both"/>
      </w:pPr>
      <w:r>
        <w:rPr>
          <w:b/>
          <w:bCs/>
        </w:rPr>
        <w:t xml:space="preserve">The inventory template. </w:t>
      </w:r>
      <w:r>
        <w:t>The inventory template should include a Not Applicable declaration option (§1.1) alongside the working tiers; a WhatsApp field distinct from generic push messaging within the Direct Marketing section (§2.4); fields for extrapolation methodology and loyalty-linkage calculation basis alongside the extrapolation-percentage and linkage-rate fields (§1.2–§1.3, §2.5), so the inventory captures the same portable disclosures the standard requires in the document itself; and the seven delivery metrics in §2.1 marked as mandatory fields with no Not Applicable option, consistent with §1.1, so a retailer cannot leave those cells blank the way it legitimately can for a conditional metric elsewhere in the inventory. The tier-selection field should offer a two-way Standard/Advanced choice, consistent with §1.1.</w:t>
      </w:r>
    </w:p>
    <w:p w14:paraId="0DA83310" w14:textId="77777777" w:rsidR="00A2611F" w:rsidRDefault="00000000">
      <w:pPr>
        <w:spacing w:after="160" w:line="276" w:lineRule="auto"/>
        <w:jc w:val="both"/>
      </w:pPr>
      <w:r>
        <w:t>Completed inventories return to the Measurement Standards Workstream and inform each revision of this standard — the tier floors in particular are calibrated against what the market demonstrably reports, so the standard stays grounded in SA reality rather than imported expectation.</w:t>
      </w:r>
    </w:p>
    <w:p w14:paraId="08BBA3F7" w14:textId="77777777" w:rsidR="00A2611F" w:rsidRDefault="00000000">
      <w:r>
        <w:br w:type="page"/>
      </w:r>
    </w:p>
    <w:p w14:paraId="218DE238" w14:textId="77777777" w:rsidR="00A2611F" w:rsidRDefault="00000000">
      <w:pPr>
        <w:pStyle w:val="Heading1"/>
      </w:pPr>
      <w:r>
        <w:lastRenderedPageBreak/>
        <w:t>Appendix C — Open Items for Task Force Resolution</w:t>
      </w:r>
    </w:p>
    <w:p w14:paraId="5B2C4D9E" w14:textId="77777777" w:rsidR="00A2611F" w:rsidRDefault="00000000">
      <w:pPr>
        <w:spacing w:after="160" w:line="276" w:lineRule="auto"/>
        <w:jc w:val="both"/>
      </w:pPr>
      <w:r>
        <w:t>This appendix consolidates the points in this standard that are recommendations rather than settled decisions, so they are visible in one place rather than scattered through the document as callouts. Each is cross-referenced to where it appears in the body.</w:t>
      </w:r>
    </w:p>
    <w:p w14:paraId="4DAA86FB" w14:textId="77777777" w:rsidR="00A2611F" w:rsidRDefault="00000000">
      <w:pPr>
        <w:pStyle w:val="ListParagraph"/>
        <w:numPr>
          <w:ilvl w:val="0"/>
          <w:numId w:val="1"/>
        </w:numPr>
        <w:spacing w:after="100" w:line="276" w:lineRule="auto"/>
        <w:jc w:val="both"/>
      </w:pPr>
      <w:r>
        <w:rPr>
          <w:b/>
          <w:bCs/>
        </w:rPr>
        <w:t xml:space="preserve">1. Final tier terminology (§1.1). </w:t>
      </w:r>
      <w:r>
        <w:t>Whether Standard and Advanced are the right labels for a two-tier structure in which Standard functions as a hard floor rather than an easier entry point, or whether a different pairing would signal that more clearly to the market. This draft uses Standard / Advanced as placeholder labels, pending a Task Force vote.</w:t>
      </w:r>
    </w:p>
    <w:p w14:paraId="22092A32" w14:textId="77777777" w:rsidR="00A2611F" w:rsidRDefault="00000000">
      <w:pPr>
        <w:pStyle w:val="ListParagraph"/>
        <w:numPr>
          <w:ilvl w:val="0"/>
          <w:numId w:val="1"/>
        </w:numPr>
        <w:spacing w:after="100" w:line="276" w:lineRule="auto"/>
        <w:jc w:val="both"/>
      </w:pPr>
      <w:r>
        <w:rPr>
          <w:b/>
          <w:bCs/>
        </w:rPr>
        <w:t xml:space="preserve">2. Governance body for tier declarations (§5.3). </w:t>
      </w:r>
      <w:r>
        <w:t>Annual re-declaration and a buyer challenge mechanism are proposed, but the specific body responsible for adjudicating a challenge — the Measurement Standards Workstream itself, a separate governance sub-committee, or a bilateral RFP/SOW process — has not been settled.</w:t>
      </w:r>
    </w:p>
    <w:p w14:paraId="54A47FED" w14:textId="77777777" w:rsidR="00A2611F" w:rsidRDefault="00000000">
      <w:pPr>
        <w:pStyle w:val="ListParagraph"/>
        <w:numPr>
          <w:ilvl w:val="0"/>
          <w:numId w:val="1"/>
        </w:numPr>
        <w:spacing w:after="100" w:line="276" w:lineRule="auto"/>
        <w:jc w:val="both"/>
      </w:pPr>
      <w:r>
        <w:rPr>
          <w:b/>
          <w:bCs/>
        </w:rPr>
        <w:t xml:space="preserve">3. Not Applicable usage tracking (§1.1, §5.3). </w:t>
      </w:r>
      <w:r>
        <w:t>Whether and how the Task Force will track Not Applicable declarations across the market over time as a maturity indicator, and what cadence that reporting would follow. This tracking now explicitly excludes the mandatory delivery metrics, which never carry a Not Applicable declaration to track.</w:t>
      </w:r>
    </w:p>
    <w:p w14:paraId="45CC970A" w14:textId="77777777" w:rsidR="00A2611F" w:rsidRDefault="00000000">
      <w:pPr>
        <w:pStyle w:val="ListParagraph"/>
        <w:numPr>
          <w:ilvl w:val="0"/>
          <w:numId w:val="1"/>
        </w:numPr>
        <w:spacing w:after="100" w:line="276" w:lineRule="auto"/>
        <w:jc w:val="both"/>
      </w:pPr>
      <w:r>
        <w:rPr>
          <w:b/>
          <w:bCs/>
        </w:rPr>
        <w:t xml:space="preserve">4. Continued / post-campaign reporting (§1.10). </w:t>
      </w:r>
      <w:r>
        <w:t>Flagged as a future capability rather than a current requirement. The Task Force should revisit the feasibility and cadence of post-flight, attribution-window-tail reporting once retailers still working toward the Standard-tier floor have closed the more immediate gaps addressed elsewhere in the standard.</w:t>
      </w:r>
    </w:p>
    <w:p w14:paraId="54CB42B5" w14:textId="77777777" w:rsidR="00A2611F" w:rsidRDefault="00000000">
      <w:pPr>
        <w:pStyle w:val="ListParagraph"/>
        <w:numPr>
          <w:ilvl w:val="0"/>
          <w:numId w:val="1"/>
        </w:numPr>
        <w:spacing w:after="100" w:line="276" w:lineRule="auto"/>
        <w:jc w:val="both"/>
      </w:pPr>
      <w:r>
        <w:rPr>
          <w:b/>
          <w:bCs/>
        </w:rPr>
        <w:t xml:space="preserve">5. Section numbering and cross-reference QA. </w:t>
      </w:r>
      <w:r>
        <w:t>A final pass to confirm section numbers, cross-references, and terminology are consistent throughout once any further content changes are agreed, including reconciling this appendix and Appendix A against the final tier-terminology decision above.</w:t>
      </w:r>
    </w:p>
    <w:p w14:paraId="14CAFF0F" w14:textId="77777777" w:rsidR="00A2611F" w:rsidRDefault="00000000">
      <w:pPr>
        <w:pStyle w:val="ListParagraph"/>
        <w:numPr>
          <w:ilvl w:val="0"/>
          <w:numId w:val="1"/>
        </w:numPr>
        <w:spacing w:after="100" w:line="276" w:lineRule="auto"/>
        <w:jc w:val="both"/>
      </w:pPr>
      <w:r>
        <w:rPr>
          <w:b/>
          <w:bCs/>
        </w:rPr>
        <w:t xml:space="preserve">6. Matched-market feasibility at SA retailer scale (§3.1.3). </w:t>
      </w:r>
      <w:r>
        <w:t>Several SA grocery and general-merchandise retailers operate a smaller store footprint than the US/European chains the underlying international matched-market guidance was written against. The Task Force should assess, retailer by retailer, whether enough comparable stores exist after excluding statistical outliers to support a credible Standard-tier matched-market design, or whether a modified minimum-sample guidance is needed for this market.</w:t>
      </w:r>
    </w:p>
    <w:p w14:paraId="4AA7AC1A" w14:textId="77777777" w:rsidR="00A2611F" w:rsidRDefault="00000000">
      <w:pPr>
        <w:pStyle w:val="ListParagraph"/>
        <w:numPr>
          <w:ilvl w:val="0"/>
          <w:numId w:val="1"/>
        </w:numPr>
        <w:spacing w:after="100" w:line="276" w:lineRule="auto"/>
        <w:jc w:val="both"/>
      </w:pPr>
      <w:r>
        <w:rPr>
          <w:b/>
          <w:bCs/>
        </w:rPr>
        <w:t xml:space="preserve">7. Impact of the reporting floor (§1.1). </w:t>
      </w:r>
      <w:r>
        <w:t>§1.1 flags the Standard floor as a genuine compliance stretch for less mature retailers rather than a formality. The Task Force should monitor early tier re-declarations, watch for metrics or retailer segments where the Standard bar proves unrealistic in the near term, and decide whether a transition period or phased adoption schedule is warranted before the next revision.</w:t>
      </w:r>
    </w:p>
    <w:sectPr w:rsidR="00A2611F">
      <w:headerReference w:type="default" r:id="rId7"/>
      <w:footerReference w:type="default" r:id="rId8"/>
      <w:pgSz w:w="12240" w:h="15840"/>
      <w:pgMar w:top="900" w:right="720" w:bottom="90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E90EC2" w14:textId="77777777" w:rsidR="00BD66BA" w:rsidRDefault="00BD66BA">
      <w:r>
        <w:separator/>
      </w:r>
    </w:p>
  </w:endnote>
  <w:endnote w:type="continuationSeparator" w:id="0">
    <w:p w14:paraId="05EAE5F0" w14:textId="77777777" w:rsidR="00BD66BA" w:rsidRDefault="00BD6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0E4B0" w14:textId="77777777" w:rsidR="00A2611F" w:rsidRDefault="00000000">
    <w:pPr>
      <w:jc w:val="center"/>
    </w:pPr>
    <w:r>
      <w:rPr>
        <w:color w:val="666666"/>
        <w:sz w:val="16"/>
        <w:szCs w:val="16"/>
      </w:rPr>
      <w:t xml:space="preserve">MMA South Africa Retail Media Task Force — Page </w:t>
    </w:r>
    <w:r>
      <w:rPr>
        <w:color w:val="666666"/>
        <w:sz w:val="16"/>
        <w:szCs w:val="16"/>
      </w:rPr>
      <w:fldChar w:fldCharType="begin"/>
    </w:r>
    <w:r>
      <w:rPr>
        <w:color w:val="666666"/>
        <w:sz w:val="16"/>
        <w:szCs w:val="16"/>
      </w:rPr>
      <w:instrText>PAGE</w:instrText>
    </w:r>
    <w:r>
      <w:rPr>
        <w:color w:val="666666"/>
        <w:sz w:val="16"/>
        <w:szCs w:val="16"/>
      </w:rPr>
      <w:fldChar w:fldCharType="separate"/>
    </w:r>
    <w:r w:rsidR="00017D75">
      <w:rPr>
        <w:noProof/>
        <w:color w:val="666666"/>
        <w:sz w:val="16"/>
        <w:szCs w:val="16"/>
      </w:rPr>
      <w:t>1</w:t>
    </w:r>
    <w:r>
      <w:rPr>
        <w:color w:val="666666"/>
        <w:sz w:val="16"/>
        <w:szCs w:val="16"/>
      </w:rPr>
      <w:fldChar w:fldCharType="end"/>
    </w:r>
    <w:r>
      <w:rPr>
        <w:color w:val="666666"/>
        <w:sz w:val="16"/>
        <w:szCs w:val="16"/>
      </w:rPr>
      <w:t xml:space="preserve"> of </w:t>
    </w:r>
    <w:r>
      <w:rPr>
        <w:color w:val="666666"/>
        <w:sz w:val="16"/>
        <w:szCs w:val="16"/>
      </w:rPr>
      <w:fldChar w:fldCharType="begin"/>
    </w:r>
    <w:r>
      <w:rPr>
        <w:color w:val="666666"/>
        <w:sz w:val="16"/>
        <w:szCs w:val="16"/>
      </w:rPr>
      <w:instrText>NUMPAGES</w:instrText>
    </w:r>
    <w:r>
      <w:rPr>
        <w:color w:val="666666"/>
        <w:sz w:val="16"/>
        <w:szCs w:val="16"/>
      </w:rPr>
      <w:fldChar w:fldCharType="separate"/>
    </w:r>
    <w:r w:rsidR="00017D75">
      <w:rPr>
        <w:noProof/>
        <w:color w:val="666666"/>
        <w:sz w:val="16"/>
        <w:szCs w:val="16"/>
      </w:rPr>
      <w:t>2</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717579" w14:textId="77777777" w:rsidR="00BD66BA" w:rsidRDefault="00BD66BA">
      <w:r>
        <w:separator/>
      </w:r>
    </w:p>
  </w:footnote>
  <w:footnote w:type="continuationSeparator" w:id="0">
    <w:p w14:paraId="22C61695" w14:textId="77777777" w:rsidR="00BD66BA" w:rsidRDefault="00BD6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6A9DC" w14:textId="77777777" w:rsidR="00A2611F" w:rsidRDefault="00000000">
    <w:pPr>
      <w:jc w:val="center"/>
    </w:pPr>
    <w:r>
      <w:rPr>
        <w:color w:val="666666"/>
        <w:sz w:val="16"/>
        <w:szCs w:val="16"/>
      </w:rPr>
      <w:t>SA Retail Media Measurement Standard · Working Draft v0.3 ·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B25B9"/>
    <w:multiLevelType w:val="hybridMultilevel"/>
    <w:tmpl w:val="AD52B49E"/>
    <w:lvl w:ilvl="0" w:tplc="C3680F64">
      <w:start w:val="1"/>
      <w:numFmt w:val="bullet"/>
      <w:lvlText w:val="●"/>
      <w:lvlJc w:val="left"/>
      <w:pPr>
        <w:ind w:left="720" w:hanging="360"/>
      </w:pPr>
    </w:lvl>
    <w:lvl w:ilvl="1" w:tplc="F2FEB816">
      <w:start w:val="1"/>
      <w:numFmt w:val="bullet"/>
      <w:lvlText w:val="○"/>
      <w:lvlJc w:val="left"/>
      <w:pPr>
        <w:ind w:left="1440" w:hanging="360"/>
      </w:pPr>
    </w:lvl>
    <w:lvl w:ilvl="2" w:tplc="93E4185A">
      <w:start w:val="1"/>
      <w:numFmt w:val="bullet"/>
      <w:lvlText w:val="■"/>
      <w:lvlJc w:val="left"/>
      <w:pPr>
        <w:ind w:left="2160" w:hanging="360"/>
      </w:pPr>
    </w:lvl>
    <w:lvl w:ilvl="3" w:tplc="88BE4A66">
      <w:start w:val="1"/>
      <w:numFmt w:val="bullet"/>
      <w:lvlText w:val="●"/>
      <w:lvlJc w:val="left"/>
      <w:pPr>
        <w:ind w:left="2880" w:hanging="360"/>
      </w:pPr>
    </w:lvl>
    <w:lvl w:ilvl="4" w:tplc="AB84720A">
      <w:start w:val="1"/>
      <w:numFmt w:val="bullet"/>
      <w:lvlText w:val="○"/>
      <w:lvlJc w:val="left"/>
      <w:pPr>
        <w:ind w:left="3600" w:hanging="360"/>
      </w:pPr>
    </w:lvl>
    <w:lvl w:ilvl="5" w:tplc="53B824FC">
      <w:start w:val="1"/>
      <w:numFmt w:val="bullet"/>
      <w:lvlText w:val="■"/>
      <w:lvlJc w:val="left"/>
      <w:pPr>
        <w:ind w:left="4320" w:hanging="360"/>
      </w:pPr>
    </w:lvl>
    <w:lvl w:ilvl="6" w:tplc="2C18F2C4">
      <w:start w:val="1"/>
      <w:numFmt w:val="bullet"/>
      <w:lvlText w:val="●"/>
      <w:lvlJc w:val="left"/>
      <w:pPr>
        <w:ind w:left="5040" w:hanging="360"/>
      </w:pPr>
    </w:lvl>
    <w:lvl w:ilvl="7" w:tplc="CCD21592">
      <w:start w:val="1"/>
      <w:numFmt w:val="bullet"/>
      <w:lvlText w:val="●"/>
      <w:lvlJc w:val="left"/>
      <w:pPr>
        <w:ind w:left="5760" w:hanging="360"/>
      </w:pPr>
    </w:lvl>
    <w:lvl w:ilvl="8" w:tplc="F9108F72">
      <w:start w:val="1"/>
      <w:numFmt w:val="bullet"/>
      <w:lvlText w:val="●"/>
      <w:lvlJc w:val="left"/>
      <w:pPr>
        <w:ind w:left="6480" w:hanging="360"/>
      </w:pPr>
    </w:lvl>
  </w:abstractNum>
  <w:num w:numId="1" w16cid:durableId="14785232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displayBackgroundShape/>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11F"/>
    <w:rsid w:val="00017D75"/>
    <w:rsid w:val="002B72A7"/>
    <w:rsid w:val="0048017D"/>
    <w:rsid w:val="005005F2"/>
    <w:rsid w:val="00A2611F"/>
    <w:rsid w:val="00AE0A0D"/>
    <w:rsid w:val="00BD6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9409E"/>
  <w15:docId w15:val="{62CC3641-056B-4886-B902-7F138EC2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40"/>
      <w:outlineLvl w:val="0"/>
    </w:pPr>
    <w:rPr>
      <w:b/>
      <w:bCs/>
      <w:color w:val="1F3864"/>
      <w:sz w:val="32"/>
      <w:szCs w:val="32"/>
    </w:rPr>
  </w:style>
  <w:style w:type="paragraph" w:styleId="Heading2">
    <w:name w:val="heading 2"/>
    <w:uiPriority w:val="9"/>
    <w:unhideWhenUsed/>
    <w:qFormat/>
    <w:pPr>
      <w:spacing w:before="260" w:after="120"/>
      <w:outlineLvl w:val="1"/>
    </w:pPr>
    <w:rPr>
      <w:b/>
      <w:bCs/>
      <w:color w:val="2E5395"/>
      <w:sz w:val="26"/>
      <w:szCs w:val="26"/>
    </w:rPr>
  </w:style>
  <w:style w:type="paragraph" w:styleId="Heading3">
    <w:name w:val="heading 3"/>
    <w:uiPriority w:val="9"/>
    <w:unhideWhenUsed/>
    <w:qFormat/>
    <w:pPr>
      <w:spacing w:before="200" w:after="100"/>
      <w:outlineLvl w:val="2"/>
    </w:pPr>
    <w:rPr>
      <w:b/>
      <w:bCs/>
      <w:color w:val="3B689E"/>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12393</Words>
  <Characters>70641</Characters>
  <Application>Microsoft Office Word</Application>
  <DocSecurity>0</DocSecurity>
  <Lines>588</Lines>
  <Paragraphs>165</Paragraphs>
  <ScaleCrop>false</ScaleCrop>
  <Company>dentsu International</Company>
  <LinksUpToDate>false</LinksUpToDate>
  <CharactersWithSpaces>82869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Utermark</cp:lastModifiedBy>
  <cp:revision>2</cp:revision>
  <dcterms:created xsi:type="dcterms:W3CDTF">2026-09-07T12:34:00Z</dcterms:created>
  <dcterms:modified xsi:type="dcterms:W3CDTF">2026-09-07T12:34:00Z</dcterms:modified>
</cp:coreProperties>
</file>